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6B1" w:rsidRPr="008E34DA" w:rsidRDefault="00F71D07" w:rsidP="005468E7">
      <w:pPr>
        <w:ind w:hanging="284"/>
        <w:contextualSpacing/>
        <w:jc w:val="center"/>
        <w:rPr>
          <w:rFonts w:ascii="Times New Roman" w:hAnsi="Times New Roman" w:cs="Times New Roman"/>
          <w:b/>
        </w:rPr>
      </w:pPr>
      <w:r w:rsidRPr="008E34DA">
        <w:rPr>
          <w:rFonts w:ascii="Times New Roman" w:hAnsi="Times New Roman" w:cs="Times New Roman"/>
          <w:b/>
        </w:rPr>
        <w:t xml:space="preserve">Ключевая информация </w:t>
      </w:r>
      <w:r w:rsidR="00A562CE" w:rsidRPr="008E34DA">
        <w:rPr>
          <w:rFonts w:ascii="Times New Roman" w:hAnsi="Times New Roman" w:cs="Times New Roman"/>
          <w:b/>
        </w:rPr>
        <w:t>о договоре</w:t>
      </w:r>
      <w:r w:rsidR="003F02F9" w:rsidRPr="008E34DA">
        <w:rPr>
          <w:rFonts w:ascii="Times New Roman" w:hAnsi="Times New Roman" w:cs="Times New Roman"/>
          <w:b/>
        </w:rPr>
        <w:t xml:space="preserve"> на</w:t>
      </w:r>
      <w:r w:rsidR="00A562CE" w:rsidRPr="008E34DA">
        <w:rPr>
          <w:rFonts w:ascii="Times New Roman" w:hAnsi="Times New Roman" w:cs="Times New Roman"/>
          <w:b/>
        </w:rPr>
        <w:t xml:space="preserve"> брокерско</w:t>
      </w:r>
      <w:r w:rsidR="003F02F9" w:rsidRPr="008E34DA">
        <w:rPr>
          <w:rFonts w:ascii="Times New Roman" w:hAnsi="Times New Roman" w:cs="Times New Roman"/>
          <w:b/>
        </w:rPr>
        <w:t>е</w:t>
      </w:r>
      <w:r w:rsidR="00A562CE" w:rsidRPr="008E34DA">
        <w:rPr>
          <w:rFonts w:ascii="Times New Roman" w:hAnsi="Times New Roman" w:cs="Times New Roman"/>
          <w:b/>
        </w:rPr>
        <w:t xml:space="preserve"> обслуживани</w:t>
      </w:r>
      <w:r w:rsidR="003F02F9" w:rsidRPr="008E34DA">
        <w:rPr>
          <w:rFonts w:ascii="Times New Roman" w:hAnsi="Times New Roman" w:cs="Times New Roman"/>
          <w:b/>
        </w:rPr>
        <w:t>е</w:t>
      </w:r>
      <w:r w:rsidR="005468E7">
        <w:rPr>
          <w:rFonts w:ascii="Times New Roman" w:hAnsi="Times New Roman" w:cs="Times New Roman"/>
          <w:b/>
        </w:rPr>
        <w:t xml:space="preserve"> ООО «ТАИФ-ИНВЕСТ»</w:t>
      </w:r>
      <w:r w:rsidR="003F02F9" w:rsidRPr="008E34DA">
        <w:rPr>
          <w:rStyle w:val="a5"/>
        </w:rPr>
        <w:t xml:space="preserve"> </w:t>
      </w:r>
    </w:p>
    <w:p w:rsidR="00BF2B40" w:rsidRPr="008E34DA" w:rsidRDefault="00BF2B40" w:rsidP="00BF2B40">
      <w:pPr>
        <w:contextualSpacing/>
        <w:jc w:val="center"/>
        <w:rPr>
          <w:rFonts w:ascii="Times New Roman" w:hAnsi="Times New Roman" w:cs="Times New Roman"/>
        </w:rPr>
      </w:pPr>
    </w:p>
    <w:p w:rsidR="00AA442C" w:rsidRPr="008E34DA" w:rsidRDefault="00BF2B40" w:rsidP="00BD20AA">
      <w:pPr>
        <w:spacing w:line="240" w:lineRule="auto"/>
        <w:ind w:left="-567" w:firstLine="426"/>
        <w:contextualSpacing/>
        <w:jc w:val="both"/>
        <w:rPr>
          <w:rFonts w:ascii="Times New Roman" w:hAnsi="Times New Roman" w:cs="Times New Roman"/>
        </w:rPr>
      </w:pPr>
      <w:r w:rsidRPr="008E34DA">
        <w:rPr>
          <w:rFonts w:ascii="Times New Roman" w:hAnsi="Times New Roman" w:cs="Times New Roman"/>
        </w:rPr>
        <w:t xml:space="preserve">Предоставляемый </w:t>
      </w:r>
      <w:r w:rsidR="008E34DA">
        <w:rPr>
          <w:rFonts w:ascii="Times New Roman" w:hAnsi="Times New Roman" w:cs="Times New Roman"/>
        </w:rPr>
        <w:t>перечень информации о договоре на</w:t>
      </w:r>
      <w:r w:rsidRPr="008E34DA">
        <w:rPr>
          <w:rFonts w:ascii="Times New Roman" w:hAnsi="Times New Roman" w:cs="Times New Roman"/>
        </w:rPr>
        <w:t xml:space="preserve"> брокерско</w:t>
      </w:r>
      <w:r w:rsidR="008E34DA">
        <w:rPr>
          <w:rFonts w:ascii="Times New Roman" w:hAnsi="Times New Roman" w:cs="Times New Roman"/>
        </w:rPr>
        <w:t>е</w:t>
      </w:r>
      <w:r w:rsidRPr="008E34DA">
        <w:rPr>
          <w:rFonts w:ascii="Times New Roman" w:hAnsi="Times New Roman" w:cs="Times New Roman"/>
        </w:rPr>
        <w:t xml:space="preserve"> обслуживани</w:t>
      </w:r>
      <w:r w:rsidR="008E34DA">
        <w:rPr>
          <w:rFonts w:ascii="Times New Roman" w:hAnsi="Times New Roman" w:cs="Times New Roman"/>
        </w:rPr>
        <w:t>е</w:t>
      </w:r>
      <w:r w:rsidRPr="008E34DA">
        <w:rPr>
          <w:rFonts w:ascii="Times New Roman" w:hAnsi="Times New Roman" w:cs="Times New Roman"/>
        </w:rPr>
        <w:t xml:space="preserve"> является минимальным, не замен</w:t>
      </w:r>
      <w:r w:rsidR="008E34DA">
        <w:rPr>
          <w:rFonts w:ascii="Times New Roman" w:hAnsi="Times New Roman" w:cs="Times New Roman"/>
        </w:rPr>
        <w:t>яет собой все условия договора на</w:t>
      </w:r>
      <w:r w:rsidRPr="008E34DA">
        <w:rPr>
          <w:rFonts w:ascii="Times New Roman" w:hAnsi="Times New Roman" w:cs="Times New Roman"/>
        </w:rPr>
        <w:t xml:space="preserve"> брокерско</w:t>
      </w:r>
      <w:r w:rsidR="008E34DA">
        <w:rPr>
          <w:rFonts w:ascii="Times New Roman" w:hAnsi="Times New Roman" w:cs="Times New Roman"/>
        </w:rPr>
        <w:t>е</w:t>
      </w:r>
      <w:r w:rsidRPr="008E34DA">
        <w:rPr>
          <w:rFonts w:ascii="Times New Roman" w:hAnsi="Times New Roman" w:cs="Times New Roman"/>
        </w:rPr>
        <w:t xml:space="preserve"> обслуживани</w:t>
      </w:r>
      <w:r w:rsidR="008E34DA">
        <w:rPr>
          <w:rFonts w:ascii="Times New Roman" w:hAnsi="Times New Roman" w:cs="Times New Roman"/>
        </w:rPr>
        <w:t>е</w:t>
      </w:r>
      <w:r w:rsidRPr="008E34DA">
        <w:rPr>
          <w:rFonts w:ascii="Times New Roman" w:hAnsi="Times New Roman" w:cs="Times New Roman"/>
        </w:rPr>
        <w:t>, а также необходимость ознакоми</w:t>
      </w:r>
      <w:r w:rsidR="008E34DA">
        <w:rPr>
          <w:rFonts w:ascii="Times New Roman" w:hAnsi="Times New Roman" w:cs="Times New Roman"/>
        </w:rPr>
        <w:t>ться с полным текстом договора на</w:t>
      </w:r>
      <w:r w:rsidRPr="008E34DA">
        <w:rPr>
          <w:rFonts w:ascii="Times New Roman" w:hAnsi="Times New Roman" w:cs="Times New Roman"/>
        </w:rPr>
        <w:t xml:space="preserve"> брокерско</w:t>
      </w:r>
      <w:r w:rsidR="008E34DA">
        <w:rPr>
          <w:rFonts w:ascii="Times New Roman" w:hAnsi="Times New Roman" w:cs="Times New Roman"/>
        </w:rPr>
        <w:t>е</w:t>
      </w:r>
      <w:r w:rsidRPr="008E34DA">
        <w:rPr>
          <w:rFonts w:ascii="Times New Roman" w:hAnsi="Times New Roman" w:cs="Times New Roman"/>
        </w:rPr>
        <w:t xml:space="preserve"> обслуживани</w:t>
      </w:r>
      <w:r w:rsidR="008E34DA">
        <w:rPr>
          <w:rFonts w:ascii="Times New Roman" w:hAnsi="Times New Roman" w:cs="Times New Roman"/>
        </w:rPr>
        <w:t>е</w:t>
      </w:r>
      <w:r w:rsidRPr="008E34DA">
        <w:rPr>
          <w:rFonts w:ascii="Times New Roman" w:hAnsi="Times New Roman" w:cs="Times New Roman"/>
        </w:rPr>
        <w:t xml:space="preserve">. </w:t>
      </w:r>
    </w:p>
    <w:p w:rsidR="008E34DA" w:rsidRPr="008E34DA" w:rsidRDefault="008E34DA" w:rsidP="00BD20AA">
      <w:pPr>
        <w:spacing w:line="240" w:lineRule="auto"/>
        <w:ind w:left="-567" w:firstLine="426"/>
        <w:contextualSpacing/>
        <w:jc w:val="both"/>
        <w:rPr>
          <w:rFonts w:ascii="Times New Roman" w:hAnsi="Times New Roman" w:cs="Times New Roman"/>
        </w:rPr>
      </w:pPr>
    </w:p>
    <w:p w:rsidR="008E34DA" w:rsidRPr="008E34DA" w:rsidRDefault="008E34DA" w:rsidP="008E34DA">
      <w:pPr>
        <w:pBdr>
          <w:top w:val="single" w:sz="24" w:space="1" w:color="FF0000"/>
          <w:left w:val="single" w:sz="24" w:space="4" w:color="FF0000"/>
          <w:bottom w:val="single" w:sz="24" w:space="8" w:color="FF0000"/>
          <w:right w:val="single" w:sz="24" w:space="4" w:color="FF0000"/>
        </w:pBdr>
        <w:spacing w:after="0" w:line="240" w:lineRule="auto"/>
        <w:ind w:left="-425" w:right="142" w:firstLine="284"/>
        <w:jc w:val="both"/>
        <w:rPr>
          <w:rFonts w:ascii="Times New Roman" w:hAnsi="Times New Roman" w:cs="Times New Roman"/>
          <w:b/>
          <w:bCs/>
        </w:rPr>
      </w:pPr>
      <w:r w:rsidRPr="008E34DA">
        <w:rPr>
          <w:rFonts w:ascii="Times New Roman" w:hAnsi="Times New Roman" w:cs="Times New Roman"/>
          <w:b/>
          <w:bCs/>
        </w:rPr>
        <w:t xml:space="preserve">Договор </w:t>
      </w:r>
      <w:r>
        <w:rPr>
          <w:rFonts w:ascii="Times New Roman" w:hAnsi="Times New Roman" w:cs="Times New Roman"/>
          <w:b/>
          <w:bCs/>
        </w:rPr>
        <w:t>на</w:t>
      </w:r>
      <w:r w:rsidRPr="008E34DA">
        <w:rPr>
          <w:rFonts w:ascii="Times New Roman" w:hAnsi="Times New Roman" w:cs="Times New Roman"/>
          <w:b/>
          <w:bCs/>
        </w:rPr>
        <w:t xml:space="preserve"> брокерско</w:t>
      </w:r>
      <w:r>
        <w:rPr>
          <w:rFonts w:ascii="Times New Roman" w:hAnsi="Times New Roman" w:cs="Times New Roman"/>
          <w:b/>
          <w:bCs/>
        </w:rPr>
        <w:t>е</w:t>
      </w:r>
      <w:r w:rsidRPr="008E34DA">
        <w:rPr>
          <w:rFonts w:ascii="Times New Roman" w:hAnsi="Times New Roman" w:cs="Times New Roman"/>
          <w:b/>
          <w:bCs/>
        </w:rPr>
        <w:t xml:space="preserve"> обслуживании не является вкладом. </w:t>
      </w:r>
    </w:p>
    <w:p w:rsidR="008E34DA" w:rsidRPr="008E34DA" w:rsidRDefault="008E34DA" w:rsidP="008E34DA">
      <w:pPr>
        <w:pBdr>
          <w:top w:val="single" w:sz="24" w:space="1" w:color="FF0000"/>
          <w:left w:val="single" w:sz="24" w:space="4" w:color="FF0000"/>
          <w:bottom w:val="single" w:sz="24" w:space="8" w:color="FF0000"/>
          <w:right w:val="single" w:sz="24" w:space="4" w:color="FF0000"/>
        </w:pBdr>
        <w:spacing w:after="0" w:line="240" w:lineRule="auto"/>
        <w:ind w:left="-425" w:right="142" w:firstLine="284"/>
        <w:jc w:val="both"/>
        <w:rPr>
          <w:rFonts w:ascii="Times New Roman" w:hAnsi="Times New Roman" w:cs="Times New Roman"/>
          <w:b/>
          <w:bCs/>
          <w:spacing w:val="-4"/>
        </w:rPr>
      </w:pPr>
      <w:r w:rsidRPr="008E34DA">
        <w:rPr>
          <w:rFonts w:ascii="Times New Roman" w:hAnsi="Times New Roman" w:cs="Times New Roman"/>
          <w:b/>
          <w:bCs/>
          <w:spacing w:val="-4"/>
        </w:rPr>
        <w:t xml:space="preserve">Средства, размещенные на брокерском счете, не застрахованы (не гарантированы) государством. </w:t>
      </w:r>
    </w:p>
    <w:p w:rsidR="008E34DA" w:rsidRPr="008E34DA" w:rsidRDefault="008E34DA" w:rsidP="008E34DA">
      <w:pPr>
        <w:pBdr>
          <w:top w:val="single" w:sz="24" w:space="1" w:color="FF0000"/>
          <w:left w:val="single" w:sz="24" w:space="4" w:color="FF0000"/>
          <w:bottom w:val="single" w:sz="24" w:space="8" w:color="FF0000"/>
          <w:right w:val="single" w:sz="24" w:space="4" w:color="FF0000"/>
        </w:pBdr>
        <w:spacing w:after="0" w:line="240" w:lineRule="auto"/>
        <w:ind w:left="-425" w:right="142" w:firstLine="284"/>
        <w:jc w:val="both"/>
        <w:rPr>
          <w:rFonts w:ascii="Times New Roman" w:hAnsi="Times New Roman" w:cs="Times New Roman"/>
          <w:b/>
          <w:bCs/>
        </w:rPr>
      </w:pPr>
      <w:r w:rsidRPr="008E34DA">
        <w:rPr>
          <w:rFonts w:ascii="Times New Roman" w:hAnsi="Times New Roman" w:cs="Times New Roman"/>
          <w:b/>
          <w:bCs/>
        </w:rPr>
        <w:t xml:space="preserve">Вы можете потерять все, что вложили, а в некоторых случаях – остаться должны. </w:t>
      </w:r>
    </w:p>
    <w:p w:rsidR="008E34DA" w:rsidRPr="008E34DA" w:rsidRDefault="008E34DA" w:rsidP="008E34DA">
      <w:pPr>
        <w:pBdr>
          <w:top w:val="single" w:sz="24" w:space="1" w:color="FF0000"/>
          <w:left w:val="single" w:sz="24" w:space="4" w:color="FF0000"/>
          <w:bottom w:val="single" w:sz="24" w:space="8" w:color="FF0000"/>
          <w:right w:val="single" w:sz="24" w:space="4" w:color="FF0000"/>
        </w:pBdr>
        <w:spacing w:after="0" w:line="240" w:lineRule="auto"/>
        <w:ind w:left="-425" w:right="142" w:firstLine="284"/>
        <w:jc w:val="both"/>
        <w:rPr>
          <w:rFonts w:ascii="Times New Roman" w:hAnsi="Times New Roman" w:cs="Times New Roman"/>
          <w:b/>
          <w:bCs/>
        </w:rPr>
      </w:pPr>
      <w:r w:rsidRPr="008E34DA">
        <w:rPr>
          <w:rFonts w:ascii="Times New Roman" w:hAnsi="Times New Roman" w:cs="Times New Roman"/>
          <w:b/>
          <w:bCs/>
        </w:rPr>
        <w:t xml:space="preserve">В случае потерь компенсаций не предусмотрено. Доход не гарантирован. </w:t>
      </w:r>
    </w:p>
    <w:p w:rsidR="008E34DA" w:rsidRPr="008E34DA" w:rsidRDefault="008E34DA" w:rsidP="00BD20AA">
      <w:pPr>
        <w:spacing w:line="240" w:lineRule="auto"/>
        <w:ind w:left="-567" w:firstLine="425"/>
        <w:contextualSpacing/>
        <w:rPr>
          <w:rFonts w:ascii="Times New Roman" w:hAnsi="Times New Roman" w:cs="Times New Roman"/>
        </w:rPr>
      </w:pPr>
    </w:p>
    <w:p w:rsidR="00F528DB" w:rsidRDefault="009769C0" w:rsidP="00BD20AA">
      <w:pPr>
        <w:spacing w:line="240" w:lineRule="auto"/>
        <w:ind w:left="-567" w:firstLine="425"/>
        <w:contextualSpacing/>
        <w:rPr>
          <w:rFonts w:ascii="Times New Roman" w:hAnsi="Times New Roman" w:cs="Times New Roman"/>
        </w:rPr>
      </w:pPr>
      <w:r w:rsidRPr="008E34DA">
        <w:rPr>
          <w:rFonts w:ascii="Times New Roman" w:hAnsi="Times New Roman" w:cs="Times New Roman"/>
        </w:rPr>
        <w:t>Ознакомьтесь с</w:t>
      </w:r>
      <w:r w:rsidR="00F528DB" w:rsidRPr="008E34DA">
        <w:rPr>
          <w:rFonts w:ascii="Times New Roman" w:hAnsi="Times New Roman" w:cs="Times New Roman"/>
        </w:rPr>
        <w:t xml:space="preserve"> деклараци</w:t>
      </w:r>
      <w:r w:rsidRPr="008E34DA">
        <w:rPr>
          <w:rFonts w:ascii="Times New Roman" w:hAnsi="Times New Roman" w:cs="Times New Roman"/>
        </w:rPr>
        <w:t>ями</w:t>
      </w:r>
      <w:r w:rsidR="00F528DB" w:rsidRPr="008E34DA">
        <w:rPr>
          <w:rFonts w:ascii="Times New Roman" w:hAnsi="Times New Roman" w:cs="Times New Roman"/>
        </w:rPr>
        <w:t xml:space="preserve"> о рисках, связанных с совершением операций на рынке ценных бумаг</w:t>
      </w:r>
      <w:r w:rsidR="00797ADD" w:rsidRPr="008E34DA">
        <w:rPr>
          <w:rFonts w:ascii="Times New Roman" w:hAnsi="Times New Roman" w:cs="Times New Roman"/>
        </w:rPr>
        <w:t>, которые брокер должен предоста</w:t>
      </w:r>
      <w:r w:rsidR="00814A5A" w:rsidRPr="008E34DA">
        <w:rPr>
          <w:rFonts w:ascii="Times New Roman" w:hAnsi="Times New Roman" w:cs="Times New Roman"/>
        </w:rPr>
        <w:t xml:space="preserve">вить Вам до заключения договора о брокерском обслуживании. </w:t>
      </w:r>
      <w:r w:rsidR="008E34DA" w:rsidRPr="008E34DA">
        <w:rPr>
          <w:rFonts w:ascii="Times New Roman" w:hAnsi="Times New Roman" w:cs="Times New Roman"/>
        </w:rPr>
        <w:t>Декларация о рисках размещена на</w:t>
      </w:r>
      <w:r w:rsidR="008E34DA">
        <w:rPr>
          <w:rFonts w:ascii="Times New Roman" w:hAnsi="Times New Roman" w:cs="Times New Roman"/>
        </w:rPr>
        <w:t xml:space="preserve"> сайте </w:t>
      </w:r>
      <w:hyperlink r:id="rId8" w:history="1">
        <w:r w:rsidR="008E34DA" w:rsidRPr="008E34DA">
          <w:rPr>
            <w:rStyle w:val="af8"/>
            <w:rFonts w:ascii="Times New Roman" w:hAnsi="Times New Roman" w:cs="Times New Roman"/>
          </w:rPr>
          <w:t>http://taif-invest.ru/services.html</w:t>
        </w:r>
      </w:hyperlink>
      <w:r w:rsidR="008E34DA" w:rsidRPr="008E34DA">
        <w:rPr>
          <w:rFonts w:ascii="Times New Roman" w:hAnsi="Times New Roman" w:cs="Times New Roman"/>
        </w:rPr>
        <w:t>.</w:t>
      </w:r>
    </w:p>
    <w:p w:rsidR="005468E7" w:rsidRPr="008E34DA" w:rsidRDefault="005468E7" w:rsidP="00BD20AA">
      <w:pPr>
        <w:spacing w:line="240" w:lineRule="auto"/>
        <w:ind w:left="-567" w:firstLine="425"/>
        <w:contextualSpacing/>
        <w:rPr>
          <w:rFonts w:ascii="Times New Roman" w:hAnsi="Times New Roman" w:cs="Times New Roman"/>
        </w:rPr>
      </w:pPr>
    </w:p>
    <w:tbl>
      <w:tblPr>
        <w:tblStyle w:val="af4"/>
        <w:tblW w:w="10952" w:type="dxa"/>
        <w:tblInd w:w="-714" w:type="dxa"/>
        <w:tblLook w:val="04A0" w:firstRow="1" w:lastRow="0" w:firstColumn="1" w:lastColumn="0" w:noHBand="0" w:noVBand="1"/>
      </w:tblPr>
      <w:tblGrid>
        <w:gridCol w:w="495"/>
        <w:gridCol w:w="2410"/>
        <w:gridCol w:w="8047"/>
      </w:tblGrid>
      <w:tr w:rsidR="00BF2B40" w:rsidRPr="008E34DA" w:rsidTr="00FD7173">
        <w:trPr>
          <w:trHeight w:val="144"/>
        </w:trPr>
        <w:tc>
          <w:tcPr>
            <w:tcW w:w="495" w:type="dxa"/>
          </w:tcPr>
          <w:p w:rsidR="00BF2B40" w:rsidRPr="008E34DA" w:rsidRDefault="00BF2B40" w:rsidP="004F2876">
            <w:pPr>
              <w:contextualSpacing/>
              <w:jc w:val="center"/>
              <w:rPr>
                <w:rFonts w:ascii="Times New Roman" w:hAnsi="Times New Roman" w:cs="Times New Roman"/>
                <w:lang w:val="en-US"/>
              </w:rPr>
            </w:pPr>
            <w:r w:rsidRPr="008E34DA">
              <w:rPr>
                <w:rFonts w:ascii="Times New Roman" w:hAnsi="Times New Roman" w:cs="Times New Roman"/>
                <w:lang w:val="en-US"/>
              </w:rPr>
              <w:t>1</w:t>
            </w:r>
          </w:p>
        </w:tc>
        <w:tc>
          <w:tcPr>
            <w:tcW w:w="2410" w:type="dxa"/>
          </w:tcPr>
          <w:p w:rsidR="00BF2B40" w:rsidRPr="008E34DA" w:rsidRDefault="00D85A7D" w:rsidP="00BF2B40">
            <w:pPr>
              <w:contextualSpacing/>
              <w:rPr>
                <w:rFonts w:ascii="Times New Roman" w:hAnsi="Times New Roman" w:cs="Times New Roman"/>
              </w:rPr>
            </w:pPr>
            <w:r w:rsidRPr="008E34DA">
              <w:rPr>
                <w:rFonts w:ascii="Times New Roman" w:hAnsi="Times New Roman" w:cs="Times New Roman"/>
              </w:rPr>
              <w:t>Предмет договора</w:t>
            </w:r>
            <w:r w:rsidR="00BF2B40" w:rsidRPr="008E34DA">
              <w:rPr>
                <w:rFonts w:ascii="Times New Roman" w:hAnsi="Times New Roman" w:cs="Times New Roman"/>
              </w:rPr>
              <w:t xml:space="preserve"> </w:t>
            </w:r>
          </w:p>
        </w:tc>
        <w:tc>
          <w:tcPr>
            <w:tcW w:w="8047" w:type="dxa"/>
          </w:tcPr>
          <w:p w:rsidR="00814A5A" w:rsidRPr="008E34DA" w:rsidRDefault="00BF2B40" w:rsidP="00E23C3B">
            <w:pPr>
              <w:contextualSpacing/>
              <w:jc w:val="both"/>
              <w:rPr>
                <w:rFonts w:ascii="Times New Roman" w:hAnsi="Times New Roman" w:cs="Times New Roman"/>
              </w:rPr>
            </w:pPr>
            <w:r w:rsidRPr="008E34DA">
              <w:rPr>
                <w:rFonts w:ascii="Times New Roman" w:hAnsi="Times New Roman" w:cs="Times New Roman"/>
              </w:rPr>
              <w:t xml:space="preserve">Предметом </w:t>
            </w:r>
            <w:r w:rsidR="00FD65EB">
              <w:rPr>
                <w:rFonts w:ascii="Times New Roman" w:hAnsi="Times New Roman" w:cs="Times New Roman"/>
              </w:rPr>
              <w:t>договора на брокерское обслуживание</w:t>
            </w:r>
            <w:r w:rsidRPr="008E34DA">
              <w:rPr>
                <w:rFonts w:ascii="Times New Roman" w:hAnsi="Times New Roman" w:cs="Times New Roman"/>
                <w:b/>
              </w:rPr>
              <w:t xml:space="preserve"> </w:t>
            </w:r>
            <w:r w:rsidRPr="008E34DA">
              <w:rPr>
                <w:rFonts w:ascii="Times New Roman" w:hAnsi="Times New Roman" w:cs="Times New Roman"/>
              </w:rPr>
              <w:t xml:space="preserve">является оказание услуг по исполнению поручений клиента на совершение </w:t>
            </w:r>
            <w:proofErr w:type="spellStart"/>
            <w:r w:rsidRPr="008E34DA">
              <w:rPr>
                <w:rFonts w:ascii="Times New Roman" w:hAnsi="Times New Roman" w:cs="Times New Roman"/>
              </w:rPr>
              <w:t>гражданско</w:t>
            </w:r>
            <w:proofErr w:type="spellEnd"/>
            <w:r w:rsidRPr="008E34DA">
              <w:rPr>
                <w:rFonts w:ascii="Times New Roman" w:hAnsi="Times New Roman" w:cs="Times New Roman"/>
              </w:rPr>
              <w:t xml:space="preserve"> – правовых сделок с ценными бумагами</w:t>
            </w:r>
            <w:r w:rsidR="00FD65EB">
              <w:rPr>
                <w:rFonts w:ascii="Times New Roman" w:hAnsi="Times New Roman" w:cs="Times New Roman"/>
              </w:rPr>
              <w:t>,</w:t>
            </w:r>
            <w:r w:rsidRPr="008E34DA">
              <w:rPr>
                <w:rFonts w:ascii="Times New Roman" w:hAnsi="Times New Roman" w:cs="Times New Roman"/>
              </w:rPr>
              <w:t xml:space="preserve"> </w:t>
            </w:r>
            <w:r w:rsidR="00FD65EB" w:rsidRPr="00FD65EB">
              <w:rPr>
                <w:rFonts w:ascii="Times New Roman" w:hAnsi="Times New Roman" w:cs="Times New Roman"/>
              </w:rPr>
              <w:t>предоставление финансовых услуг на рынке ценных бумаг, денежном и валютном рынке ПАО «Московская биржа»</w:t>
            </w:r>
            <w:r w:rsidRPr="008E34DA">
              <w:rPr>
                <w:rFonts w:ascii="Times New Roman" w:hAnsi="Times New Roman" w:cs="Times New Roman"/>
              </w:rPr>
              <w:t xml:space="preserve">. </w:t>
            </w:r>
            <w:r w:rsidR="003A140C" w:rsidRPr="008E34DA">
              <w:rPr>
                <w:rFonts w:ascii="Times New Roman" w:hAnsi="Times New Roman" w:cs="Times New Roman"/>
              </w:rPr>
              <w:t xml:space="preserve">Ознакомиться с </w:t>
            </w:r>
            <w:r w:rsidR="00E32A5C" w:rsidRPr="008E34DA">
              <w:rPr>
                <w:rFonts w:ascii="Times New Roman" w:hAnsi="Times New Roman" w:cs="Times New Roman"/>
              </w:rPr>
              <w:t>условиями</w:t>
            </w:r>
            <w:r w:rsidR="003A140C" w:rsidRPr="008E34DA">
              <w:rPr>
                <w:rFonts w:ascii="Times New Roman" w:hAnsi="Times New Roman" w:cs="Times New Roman"/>
              </w:rPr>
              <w:t xml:space="preserve"> договора</w:t>
            </w:r>
            <w:r w:rsidR="00FD65EB">
              <w:rPr>
                <w:rFonts w:ascii="Times New Roman" w:hAnsi="Times New Roman" w:cs="Times New Roman"/>
              </w:rPr>
              <w:t xml:space="preserve"> Вы можете на сайте </w:t>
            </w:r>
            <w:hyperlink r:id="rId9" w:history="1">
              <w:r w:rsidR="00FD65EB" w:rsidRPr="008E34DA">
                <w:rPr>
                  <w:rStyle w:val="af8"/>
                  <w:rFonts w:ascii="Times New Roman" w:hAnsi="Times New Roman" w:cs="Times New Roman"/>
                </w:rPr>
                <w:t>http://taif-invest.ru/services.html</w:t>
              </w:r>
            </w:hyperlink>
            <w:r w:rsidR="00FD65EB" w:rsidRPr="008E34DA">
              <w:rPr>
                <w:rFonts w:ascii="Times New Roman" w:hAnsi="Times New Roman" w:cs="Times New Roman"/>
              </w:rPr>
              <w:t>.</w:t>
            </w:r>
          </w:p>
        </w:tc>
      </w:tr>
      <w:tr w:rsidR="003C4E64" w:rsidRPr="008E34DA" w:rsidTr="00FD7173">
        <w:trPr>
          <w:trHeight w:val="144"/>
        </w:trPr>
        <w:tc>
          <w:tcPr>
            <w:tcW w:w="495" w:type="dxa"/>
          </w:tcPr>
          <w:p w:rsidR="003C4E64" w:rsidRPr="008E34DA" w:rsidRDefault="00883C82" w:rsidP="004F2876">
            <w:pPr>
              <w:contextualSpacing/>
              <w:jc w:val="center"/>
              <w:rPr>
                <w:rFonts w:ascii="Times New Roman" w:hAnsi="Times New Roman" w:cs="Times New Roman"/>
              </w:rPr>
            </w:pPr>
            <w:r w:rsidRPr="008E34DA">
              <w:rPr>
                <w:rFonts w:ascii="Times New Roman" w:hAnsi="Times New Roman" w:cs="Times New Roman"/>
              </w:rPr>
              <w:t>2</w:t>
            </w:r>
          </w:p>
        </w:tc>
        <w:tc>
          <w:tcPr>
            <w:tcW w:w="2410" w:type="dxa"/>
          </w:tcPr>
          <w:p w:rsidR="003C4E64" w:rsidRPr="008E34DA" w:rsidRDefault="00883C82" w:rsidP="00BF2B40">
            <w:pPr>
              <w:contextualSpacing/>
              <w:rPr>
                <w:rFonts w:ascii="Times New Roman" w:hAnsi="Times New Roman" w:cs="Times New Roman"/>
              </w:rPr>
            </w:pPr>
            <w:r w:rsidRPr="008E34DA">
              <w:rPr>
                <w:rFonts w:ascii="Times New Roman" w:hAnsi="Times New Roman" w:cs="Times New Roman"/>
              </w:rPr>
              <w:t xml:space="preserve">Изменение договора </w:t>
            </w:r>
          </w:p>
        </w:tc>
        <w:tc>
          <w:tcPr>
            <w:tcW w:w="8047" w:type="dxa"/>
          </w:tcPr>
          <w:p w:rsidR="00E66520" w:rsidRPr="00EF52E1" w:rsidRDefault="00E66520" w:rsidP="00E23C3B">
            <w:pPr>
              <w:contextualSpacing/>
              <w:jc w:val="both"/>
              <w:rPr>
                <w:rFonts w:ascii="Times New Roman" w:hAnsi="Times New Roman" w:cs="Times New Roman"/>
              </w:rPr>
            </w:pPr>
            <w:r w:rsidRPr="00EF52E1">
              <w:rPr>
                <w:rFonts w:ascii="Times New Roman" w:hAnsi="Times New Roman" w:cs="Times New Roman"/>
              </w:rPr>
              <w:t xml:space="preserve">Договор на брокерское обслуживание может быть изменен по соглашению Сторон. Изменения и дополнения, вносимые </w:t>
            </w:r>
            <w:r w:rsidR="00EF52E1">
              <w:rPr>
                <w:rFonts w:ascii="Times New Roman" w:hAnsi="Times New Roman" w:cs="Times New Roman"/>
              </w:rPr>
              <w:t xml:space="preserve">Брокером </w:t>
            </w:r>
            <w:r w:rsidRPr="00EF52E1">
              <w:rPr>
                <w:rFonts w:ascii="Times New Roman" w:hAnsi="Times New Roman" w:cs="Times New Roman"/>
              </w:rPr>
              <w:t xml:space="preserve">в Договор на брокерское обслуживание (исключая внесение изменений в Уведомление о рисках), оформляются путем заключения Дополнительного соглашения, и вступают в силу с момента его подписания Сторонами. </w:t>
            </w:r>
          </w:p>
          <w:p w:rsidR="003C4E64" w:rsidRPr="00EF52E1" w:rsidRDefault="00E66520" w:rsidP="00E23C3B">
            <w:pPr>
              <w:contextualSpacing/>
              <w:jc w:val="both"/>
              <w:rPr>
                <w:rFonts w:ascii="Times New Roman" w:hAnsi="Times New Roman" w:cs="Times New Roman"/>
              </w:rPr>
            </w:pPr>
            <w:r w:rsidRPr="00EF52E1">
              <w:rPr>
                <w:rFonts w:ascii="Times New Roman" w:hAnsi="Times New Roman" w:cs="Times New Roman"/>
              </w:rPr>
              <w:t>Любые изменения и дополнения к Договору являются его неотъемлемой частью и действительны, если они совершены в письменной форме и подписаны надлежащим образом уполномоченными на то представителями Сторон.</w:t>
            </w:r>
          </w:p>
        </w:tc>
      </w:tr>
      <w:tr w:rsidR="00883C82" w:rsidRPr="008E34DA" w:rsidTr="00FD7173">
        <w:trPr>
          <w:trHeight w:val="144"/>
        </w:trPr>
        <w:tc>
          <w:tcPr>
            <w:tcW w:w="495" w:type="dxa"/>
          </w:tcPr>
          <w:p w:rsidR="00883C82" w:rsidRPr="008E34DA" w:rsidRDefault="00883C82" w:rsidP="00883C82">
            <w:pPr>
              <w:contextualSpacing/>
              <w:jc w:val="center"/>
              <w:rPr>
                <w:rFonts w:ascii="Times New Roman" w:hAnsi="Times New Roman" w:cs="Times New Roman"/>
              </w:rPr>
            </w:pPr>
            <w:r w:rsidRPr="00F47E85">
              <w:rPr>
                <w:rFonts w:ascii="Times New Roman" w:hAnsi="Times New Roman" w:cs="Times New Roman"/>
              </w:rPr>
              <w:t>3</w:t>
            </w:r>
          </w:p>
        </w:tc>
        <w:tc>
          <w:tcPr>
            <w:tcW w:w="2410" w:type="dxa"/>
          </w:tcPr>
          <w:p w:rsidR="00883C82" w:rsidRPr="008E34DA" w:rsidRDefault="00883C82" w:rsidP="00883C82">
            <w:pPr>
              <w:contextualSpacing/>
              <w:rPr>
                <w:rFonts w:ascii="Times New Roman" w:hAnsi="Times New Roman" w:cs="Times New Roman"/>
              </w:rPr>
            </w:pPr>
            <w:r w:rsidRPr="008E34DA">
              <w:rPr>
                <w:rFonts w:ascii="Times New Roman" w:hAnsi="Times New Roman" w:cs="Times New Roman"/>
              </w:rPr>
              <w:t>Способ заключения договора</w:t>
            </w:r>
          </w:p>
        </w:tc>
        <w:tc>
          <w:tcPr>
            <w:tcW w:w="8047" w:type="dxa"/>
          </w:tcPr>
          <w:p w:rsidR="00883C82" w:rsidRPr="008E34DA" w:rsidRDefault="00F47E85" w:rsidP="00E23C3B">
            <w:pPr>
              <w:contextualSpacing/>
              <w:jc w:val="both"/>
              <w:rPr>
                <w:rFonts w:ascii="Times New Roman" w:hAnsi="Times New Roman" w:cs="Times New Roman"/>
              </w:rPr>
            </w:pPr>
            <w:r>
              <w:rPr>
                <w:rFonts w:ascii="Times New Roman" w:hAnsi="Times New Roman" w:cs="Times New Roman"/>
              </w:rPr>
              <w:t>Договор на</w:t>
            </w:r>
            <w:r w:rsidR="00883C82" w:rsidRPr="008E34DA">
              <w:rPr>
                <w:rFonts w:ascii="Times New Roman" w:hAnsi="Times New Roman" w:cs="Times New Roman"/>
              </w:rPr>
              <w:t xml:space="preserve"> брокерско</w:t>
            </w:r>
            <w:r>
              <w:rPr>
                <w:rFonts w:ascii="Times New Roman" w:hAnsi="Times New Roman" w:cs="Times New Roman"/>
              </w:rPr>
              <w:t>е</w:t>
            </w:r>
            <w:r w:rsidR="00883C82" w:rsidRPr="008E34DA">
              <w:rPr>
                <w:rFonts w:ascii="Times New Roman" w:hAnsi="Times New Roman" w:cs="Times New Roman"/>
              </w:rPr>
              <w:t xml:space="preserve"> </w:t>
            </w:r>
            <w:r>
              <w:rPr>
                <w:rFonts w:ascii="Times New Roman" w:hAnsi="Times New Roman" w:cs="Times New Roman"/>
              </w:rPr>
              <w:t>обслуживание</w:t>
            </w:r>
            <w:r w:rsidR="00883C82" w:rsidRPr="008E34DA">
              <w:rPr>
                <w:rFonts w:ascii="Times New Roman" w:hAnsi="Times New Roman" w:cs="Times New Roman"/>
              </w:rPr>
              <w:t xml:space="preserve"> заключается путем</w:t>
            </w:r>
            <w:r>
              <w:rPr>
                <w:rFonts w:ascii="Times New Roman" w:hAnsi="Times New Roman" w:cs="Times New Roman"/>
              </w:rPr>
              <w:t xml:space="preserve"> подписания единого документа</w:t>
            </w:r>
            <w:r w:rsidRPr="00F47E85">
              <w:rPr>
                <w:rFonts w:ascii="Times New Roman" w:hAnsi="Times New Roman" w:cs="Times New Roman"/>
                <w:i/>
                <w:sz w:val="18"/>
                <w:szCs w:val="18"/>
              </w:rPr>
              <w:t xml:space="preserve"> </w:t>
            </w:r>
            <w:r w:rsidRPr="00F47E85">
              <w:rPr>
                <w:rFonts w:ascii="Times New Roman" w:hAnsi="Times New Roman" w:cs="Times New Roman"/>
              </w:rPr>
              <w:t>в простой письменной форме в порядке, предусмотренном п. 2 ст. 434 ГК РФ</w:t>
            </w:r>
          </w:p>
        </w:tc>
      </w:tr>
      <w:tr w:rsidR="00883C82" w:rsidRPr="008E34DA" w:rsidTr="00FD7173">
        <w:trPr>
          <w:trHeight w:val="144"/>
        </w:trPr>
        <w:tc>
          <w:tcPr>
            <w:tcW w:w="495" w:type="dxa"/>
          </w:tcPr>
          <w:p w:rsidR="00883C82" w:rsidRPr="008E34DA" w:rsidRDefault="00883C82" w:rsidP="00883C82">
            <w:pPr>
              <w:contextualSpacing/>
              <w:jc w:val="center"/>
              <w:rPr>
                <w:rFonts w:ascii="Times New Roman" w:hAnsi="Times New Roman" w:cs="Times New Roman"/>
              </w:rPr>
            </w:pPr>
            <w:r w:rsidRPr="008E34DA">
              <w:rPr>
                <w:rFonts w:ascii="Times New Roman" w:hAnsi="Times New Roman" w:cs="Times New Roman"/>
              </w:rPr>
              <w:t>4</w:t>
            </w:r>
          </w:p>
        </w:tc>
        <w:tc>
          <w:tcPr>
            <w:tcW w:w="2410" w:type="dxa"/>
          </w:tcPr>
          <w:p w:rsidR="00883C82" w:rsidRPr="008E34DA" w:rsidRDefault="00883C82" w:rsidP="00883C82">
            <w:pPr>
              <w:contextualSpacing/>
              <w:rPr>
                <w:rFonts w:ascii="Times New Roman" w:hAnsi="Times New Roman" w:cs="Times New Roman"/>
              </w:rPr>
            </w:pPr>
            <w:r w:rsidRPr="008E34DA">
              <w:rPr>
                <w:rFonts w:ascii="Times New Roman" w:hAnsi="Times New Roman" w:cs="Times New Roman"/>
              </w:rPr>
              <w:t>Тарифы</w:t>
            </w:r>
          </w:p>
        </w:tc>
        <w:tc>
          <w:tcPr>
            <w:tcW w:w="8047" w:type="dxa"/>
          </w:tcPr>
          <w:p w:rsidR="00883C82" w:rsidRPr="008E34DA" w:rsidRDefault="00EF52E1" w:rsidP="00E23C3B">
            <w:pPr>
              <w:contextualSpacing/>
              <w:jc w:val="both"/>
              <w:rPr>
                <w:rFonts w:ascii="Times New Roman" w:hAnsi="Times New Roman" w:cs="Times New Roman"/>
              </w:rPr>
            </w:pPr>
            <w:r w:rsidRPr="00EF52E1">
              <w:rPr>
                <w:rFonts w:ascii="Times New Roman" w:hAnsi="Times New Roman" w:cs="Times New Roman"/>
              </w:rPr>
              <w:t>За оказание услуг взимает</w:t>
            </w:r>
            <w:r>
              <w:rPr>
                <w:rFonts w:ascii="Times New Roman" w:hAnsi="Times New Roman" w:cs="Times New Roman"/>
              </w:rPr>
              <w:t>ся плата согласно опубликованным</w:t>
            </w:r>
            <w:r w:rsidRPr="00EF52E1">
              <w:rPr>
                <w:rFonts w:ascii="Times New Roman" w:hAnsi="Times New Roman" w:cs="Times New Roman"/>
              </w:rPr>
              <w:t xml:space="preserve"> на сайте Тариф</w:t>
            </w:r>
            <w:r>
              <w:rPr>
                <w:rFonts w:ascii="Times New Roman" w:hAnsi="Times New Roman" w:cs="Times New Roman"/>
              </w:rPr>
              <w:t>ным планам ООО «ТАИФ-ИНВЕСТ на брокерское обслуживание (Приложение №1</w:t>
            </w:r>
            <w:r w:rsidRPr="00EF52E1">
              <w:rPr>
                <w:rFonts w:ascii="Times New Roman" w:hAnsi="Times New Roman" w:cs="Times New Roman"/>
              </w:rPr>
              <w:t xml:space="preserve"> к </w:t>
            </w:r>
            <w:r>
              <w:rPr>
                <w:rFonts w:ascii="Times New Roman" w:hAnsi="Times New Roman" w:cs="Times New Roman"/>
              </w:rPr>
              <w:t>Договору на брокерское обслуживание ООО</w:t>
            </w:r>
            <w:r w:rsidR="00E23C3B">
              <w:rPr>
                <w:rFonts w:ascii="Times New Roman" w:hAnsi="Times New Roman" w:cs="Times New Roman"/>
              </w:rPr>
              <w:t xml:space="preserve"> </w:t>
            </w:r>
            <w:r>
              <w:rPr>
                <w:rFonts w:ascii="Times New Roman" w:hAnsi="Times New Roman" w:cs="Times New Roman"/>
              </w:rPr>
              <w:t>«ТАИФ-ИНВЕСТ</w:t>
            </w:r>
            <w:r w:rsidRPr="00EF52E1">
              <w:rPr>
                <w:rFonts w:ascii="Times New Roman" w:hAnsi="Times New Roman" w:cs="Times New Roman"/>
              </w:rPr>
              <w:t xml:space="preserve">») </w:t>
            </w:r>
            <w:hyperlink r:id="rId10" w:history="1">
              <w:r w:rsidRPr="000A3B67">
                <w:rPr>
                  <w:rStyle w:val="af8"/>
                  <w:rFonts w:ascii="Times New Roman" w:hAnsi="Times New Roman" w:cs="Times New Roman"/>
                </w:rPr>
                <w:t>http://taif-invest.ru/services.html</w:t>
              </w:r>
            </w:hyperlink>
          </w:p>
        </w:tc>
      </w:tr>
      <w:tr w:rsidR="00883C82" w:rsidRPr="008E34DA" w:rsidTr="00FD7173">
        <w:trPr>
          <w:trHeight w:val="144"/>
        </w:trPr>
        <w:tc>
          <w:tcPr>
            <w:tcW w:w="495" w:type="dxa"/>
          </w:tcPr>
          <w:p w:rsidR="00883C82" w:rsidRPr="00EF52E1" w:rsidRDefault="00883C82" w:rsidP="00883C82">
            <w:pPr>
              <w:contextualSpacing/>
              <w:jc w:val="center"/>
              <w:rPr>
                <w:rFonts w:ascii="Times New Roman" w:hAnsi="Times New Roman" w:cs="Times New Roman"/>
                <w:highlight w:val="yellow"/>
              </w:rPr>
            </w:pPr>
            <w:r w:rsidRPr="00CB6E70">
              <w:rPr>
                <w:rFonts w:ascii="Times New Roman" w:hAnsi="Times New Roman" w:cs="Times New Roman"/>
              </w:rPr>
              <w:t>5</w:t>
            </w:r>
          </w:p>
        </w:tc>
        <w:tc>
          <w:tcPr>
            <w:tcW w:w="2410" w:type="dxa"/>
          </w:tcPr>
          <w:p w:rsidR="00883C82" w:rsidRPr="008E34DA" w:rsidRDefault="00883C82" w:rsidP="00883C82">
            <w:pPr>
              <w:contextualSpacing/>
              <w:rPr>
                <w:rFonts w:ascii="Times New Roman" w:hAnsi="Times New Roman" w:cs="Times New Roman"/>
              </w:rPr>
            </w:pPr>
            <w:r w:rsidRPr="008E34DA">
              <w:rPr>
                <w:rFonts w:ascii="Times New Roman" w:hAnsi="Times New Roman" w:cs="Times New Roman"/>
              </w:rPr>
              <w:t>Финансовые инструменты</w:t>
            </w:r>
          </w:p>
          <w:p w:rsidR="00883C82" w:rsidRPr="008E34DA" w:rsidRDefault="00883C82" w:rsidP="00883C82">
            <w:pPr>
              <w:contextualSpacing/>
              <w:jc w:val="center"/>
              <w:rPr>
                <w:rFonts w:ascii="Times New Roman" w:hAnsi="Times New Roman" w:cs="Times New Roman"/>
              </w:rPr>
            </w:pPr>
          </w:p>
        </w:tc>
        <w:tc>
          <w:tcPr>
            <w:tcW w:w="8047" w:type="dxa"/>
          </w:tcPr>
          <w:p w:rsidR="00883C82" w:rsidRPr="008E34DA" w:rsidRDefault="002F43D1" w:rsidP="00E23C3B">
            <w:pPr>
              <w:pStyle w:val="a3"/>
              <w:jc w:val="both"/>
              <w:rPr>
                <w:rFonts w:ascii="Times New Roman" w:hAnsi="Times New Roman" w:cs="Times New Roman"/>
                <w:sz w:val="22"/>
                <w:szCs w:val="22"/>
              </w:rPr>
            </w:pPr>
            <w:r w:rsidRPr="000667FB">
              <w:rPr>
                <w:rFonts w:ascii="Times New Roman" w:hAnsi="Times New Roman" w:cs="Times New Roman"/>
                <w:sz w:val="22"/>
                <w:szCs w:val="22"/>
              </w:rPr>
              <w:t>Вам доступны операции со следующими финансовыми инструментами: ценны</w:t>
            </w:r>
            <w:r w:rsidR="00E23C3B">
              <w:rPr>
                <w:rFonts w:ascii="Times New Roman" w:hAnsi="Times New Roman" w:cs="Times New Roman"/>
                <w:sz w:val="22"/>
                <w:szCs w:val="22"/>
              </w:rPr>
              <w:t>е</w:t>
            </w:r>
            <w:r w:rsidRPr="000667FB">
              <w:rPr>
                <w:rFonts w:ascii="Times New Roman" w:hAnsi="Times New Roman" w:cs="Times New Roman"/>
                <w:sz w:val="22"/>
                <w:szCs w:val="22"/>
              </w:rPr>
              <w:t xml:space="preserve"> бумаги (акции, облигации, инвестиционные паи биржевых инвестиционных фондов, паи паевых инвестиционных фондов, депозитарные расписки на акции и др.), иностранная валюта.</w:t>
            </w:r>
            <w:r>
              <w:t xml:space="preserve"> </w:t>
            </w:r>
          </w:p>
        </w:tc>
      </w:tr>
      <w:tr w:rsidR="00883C82" w:rsidRPr="008E34DA" w:rsidTr="00FD7173">
        <w:trPr>
          <w:trHeight w:val="144"/>
        </w:trPr>
        <w:tc>
          <w:tcPr>
            <w:tcW w:w="495" w:type="dxa"/>
          </w:tcPr>
          <w:p w:rsidR="00883C82" w:rsidRPr="00EF52E1" w:rsidRDefault="00883C82" w:rsidP="00883C82">
            <w:pPr>
              <w:contextualSpacing/>
              <w:jc w:val="center"/>
              <w:rPr>
                <w:rFonts w:ascii="Times New Roman" w:hAnsi="Times New Roman" w:cs="Times New Roman"/>
                <w:highlight w:val="yellow"/>
              </w:rPr>
            </w:pPr>
            <w:r w:rsidRPr="00CB6E70">
              <w:rPr>
                <w:rFonts w:ascii="Times New Roman" w:hAnsi="Times New Roman" w:cs="Times New Roman"/>
              </w:rPr>
              <w:t>6</w:t>
            </w:r>
          </w:p>
        </w:tc>
        <w:tc>
          <w:tcPr>
            <w:tcW w:w="2410" w:type="dxa"/>
          </w:tcPr>
          <w:p w:rsidR="00883C82" w:rsidRPr="008E34DA" w:rsidRDefault="00883C82" w:rsidP="00883C82">
            <w:pPr>
              <w:contextualSpacing/>
              <w:rPr>
                <w:rFonts w:ascii="Times New Roman" w:hAnsi="Times New Roman" w:cs="Times New Roman"/>
              </w:rPr>
            </w:pPr>
            <w:r w:rsidRPr="008E34DA">
              <w:rPr>
                <w:rFonts w:ascii="Times New Roman" w:hAnsi="Times New Roman" w:cs="Times New Roman"/>
              </w:rPr>
              <w:t xml:space="preserve">Тестирование </w:t>
            </w:r>
          </w:p>
        </w:tc>
        <w:tc>
          <w:tcPr>
            <w:tcW w:w="8047" w:type="dxa"/>
          </w:tcPr>
          <w:p w:rsidR="00354AF7" w:rsidRDefault="008E7C7B" w:rsidP="00E23C3B">
            <w:pPr>
              <w:pStyle w:val="a3"/>
              <w:jc w:val="both"/>
              <w:rPr>
                <w:rFonts w:ascii="Times New Roman" w:hAnsi="Times New Roman" w:cs="Times New Roman"/>
                <w:sz w:val="22"/>
                <w:szCs w:val="22"/>
              </w:rPr>
            </w:pPr>
            <w:r w:rsidRPr="008E7C7B">
              <w:rPr>
                <w:rFonts w:ascii="Times New Roman" w:hAnsi="Times New Roman" w:cs="Times New Roman"/>
                <w:sz w:val="22"/>
                <w:szCs w:val="22"/>
              </w:rPr>
              <w:t>Виды сделок (договоров), по которым поручения неквалифицированных инвесторов – физических лиц исполняются брокером только при положи</w:t>
            </w:r>
            <w:r w:rsidR="00716731">
              <w:rPr>
                <w:rFonts w:ascii="Times New Roman" w:hAnsi="Times New Roman" w:cs="Times New Roman"/>
                <w:sz w:val="22"/>
                <w:szCs w:val="22"/>
              </w:rPr>
              <w:t>тельном результате тестирования:</w:t>
            </w:r>
          </w:p>
          <w:p w:rsidR="004004D7" w:rsidRPr="00354AF7" w:rsidRDefault="004004D7" w:rsidP="00E23C3B">
            <w:pPr>
              <w:pStyle w:val="a3"/>
              <w:jc w:val="both"/>
              <w:rPr>
                <w:rFonts w:ascii="Times New Roman" w:hAnsi="Times New Roman" w:cs="Times New Roman"/>
                <w:sz w:val="22"/>
                <w:szCs w:val="22"/>
              </w:rPr>
            </w:pPr>
            <w:r w:rsidRPr="00354AF7">
              <w:rPr>
                <w:rFonts w:ascii="Times New Roman" w:hAnsi="Times New Roman" w:cs="Times New Roman"/>
                <w:sz w:val="22"/>
                <w:szCs w:val="22"/>
              </w:rPr>
              <w:t>необеспеченные сделки; сделки по приобретению структурных облигаций, не предназначенных для квалифицированных инвесторов; сделки по приобретению инвестиционных паев закрытых паевых инвестиционных фондов, не предназначенных для квалифицированных инвесторов, требующих проведения тестирования; сделки по приобретению облигаций российских эмитентов, которым (эмитенту которых, лицу, предоставившему обеспечение по которым) не присвоен кредитный рейтинг либо кредитный рейтинг которых (эмитента которых, лица, предоставившего обеспечение по которым) ниже уровня, установленного Советом директоров Банка России; сделки по приобретению облигаций со структурным доходом; сделки по приобретению облигаций иностранных эмитентов, исполнение обязательств по которым обеспечивается или осуществляется за счет юридического лица, созданного в соответствии с законодательством Российской Федерации, не имеющего кредитного рейтинга или кредитный рейтинг которого ниже уровня, установленного Советом директоров Банка России; сделки по приобретению акций, не включенных в котировальные списки; сделки по приобретению иностранных акций, требующие проведения тестирования; сделки по приобретению паев иностранных ETF, требующих проведения тестирования</w:t>
            </w:r>
          </w:p>
          <w:p w:rsidR="000404E0" w:rsidRPr="004004D7" w:rsidRDefault="000404E0" w:rsidP="00E23C3B">
            <w:pPr>
              <w:contextualSpacing/>
              <w:jc w:val="both"/>
              <w:rPr>
                <w:rFonts w:ascii="Times New Roman" w:hAnsi="Times New Roman" w:cs="Times New Roman"/>
              </w:rPr>
            </w:pPr>
          </w:p>
          <w:p w:rsidR="00883C82" w:rsidRPr="008E7C7B" w:rsidRDefault="00883C82" w:rsidP="00E23C3B">
            <w:pPr>
              <w:contextualSpacing/>
              <w:jc w:val="both"/>
              <w:rPr>
                <w:rFonts w:ascii="Times New Roman" w:hAnsi="Times New Roman" w:cs="Times New Roman"/>
                <w:b/>
              </w:rPr>
            </w:pPr>
            <w:r w:rsidRPr="008E7C7B">
              <w:rPr>
                <w:rFonts w:ascii="Times New Roman" w:hAnsi="Times New Roman" w:cs="Times New Roman"/>
                <w:b/>
              </w:rPr>
              <w:t>Обращаем Ваше внимание, что</w:t>
            </w:r>
            <w:r w:rsidR="00FF484E" w:rsidRPr="008E7C7B">
              <w:rPr>
                <w:rFonts w:ascii="Times New Roman" w:hAnsi="Times New Roman" w:cs="Times New Roman"/>
                <w:b/>
              </w:rPr>
              <w:t xml:space="preserve"> такие</w:t>
            </w:r>
            <w:r w:rsidRPr="008E7C7B">
              <w:rPr>
                <w:rFonts w:ascii="Times New Roman" w:hAnsi="Times New Roman" w:cs="Times New Roman"/>
                <w:b/>
              </w:rPr>
              <w:t xml:space="preserve"> сделки являются более рискованными, чем сделки с инструментами, доступными для неквалифицированных инвесторов, по которым не требуется прохождение тестирования. </w:t>
            </w:r>
          </w:p>
        </w:tc>
      </w:tr>
      <w:tr w:rsidR="00883C82" w:rsidRPr="008E34DA" w:rsidTr="00FD7173">
        <w:trPr>
          <w:trHeight w:val="3293"/>
        </w:trPr>
        <w:tc>
          <w:tcPr>
            <w:tcW w:w="495" w:type="dxa"/>
          </w:tcPr>
          <w:p w:rsidR="00883C82" w:rsidRPr="00EF52E1" w:rsidRDefault="00883C82" w:rsidP="00883C82">
            <w:pPr>
              <w:contextualSpacing/>
              <w:jc w:val="center"/>
              <w:rPr>
                <w:rFonts w:ascii="Times New Roman" w:hAnsi="Times New Roman" w:cs="Times New Roman"/>
                <w:highlight w:val="yellow"/>
              </w:rPr>
            </w:pPr>
            <w:r w:rsidRPr="00A91B78">
              <w:rPr>
                <w:rFonts w:ascii="Times New Roman" w:hAnsi="Times New Roman" w:cs="Times New Roman"/>
              </w:rPr>
              <w:t>7</w:t>
            </w:r>
          </w:p>
        </w:tc>
        <w:tc>
          <w:tcPr>
            <w:tcW w:w="2410" w:type="dxa"/>
          </w:tcPr>
          <w:p w:rsidR="00883C82" w:rsidRPr="008E34DA" w:rsidRDefault="00883C82" w:rsidP="00883C82">
            <w:pPr>
              <w:contextualSpacing/>
              <w:rPr>
                <w:rFonts w:ascii="Times New Roman" w:hAnsi="Times New Roman" w:cs="Times New Roman"/>
              </w:rPr>
            </w:pPr>
            <w:r w:rsidRPr="008E34DA">
              <w:rPr>
                <w:rFonts w:ascii="Times New Roman" w:hAnsi="Times New Roman" w:cs="Times New Roman"/>
              </w:rPr>
              <w:t xml:space="preserve">Сделки (договоры), совершение которых требует наличие статуса квалифицированного инвестора  </w:t>
            </w:r>
          </w:p>
        </w:tc>
        <w:tc>
          <w:tcPr>
            <w:tcW w:w="8047" w:type="dxa"/>
          </w:tcPr>
          <w:p w:rsidR="00883C82" w:rsidRPr="008E34DA" w:rsidRDefault="00883C82" w:rsidP="00E23C3B">
            <w:pPr>
              <w:contextualSpacing/>
              <w:jc w:val="both"/>
              <w:rPr>
                <w:rFonts w:ascii="Times New Roman" w:hAnsi="Times New Roman" w:cs="Times New Roman"/>
              </w:rPr>
            </w:pPr>
            <w:r w:rsidRPr="008E34DA">
              <w:rPr>
                <w:rFonts w:ascii="Times New Roman" w:hAnsi="Times New Roman" w:cs="Times New Roman"/>
              </w:rPr>
              <w:t xml:space="preserve">В отношении следующих видов сделок (договоров) поручения исполняются брокером только при наличии у инвестора статуса квалифицированного инвестора: </w:t>
            </w:r>
            <w:r w:rsidR="00A91B78" w:rsidRPr="00A91B78">
              <w:rPr>
                <w:rFonts w:ascii="Times New Roman" w:hAnsi="Times New Roman" w:cs="Times New Roman"/>
              </w:rPr>
              <w:t>сделки с финансовыми инструментами, предназначенными для квалифицированных инвесторов в силу норм действующего законодательства, прямых указаний на это в эмиссионной документации</w:t>
            </w:r>
            <w:r w:rsidR="00A91B78">
              <w:rPr>
                <w:rFonts w:ascii="Times New Roman" w:hAnsi="Times New Roman" w:cs="Times New Roman"/>
              </w:rPr>
              <w:t xml:space="preserve"> и Регламента признания </w:t>
            </w:r>
            <w:r w:rsidR="00A91B78" w:rsidRPr="00A91B78">
              <w:rPr>
                <w:rFonts w:ascii="Times New Roman" w:hAnsi="Times New Roman" w:cs="Times New Roman"/>
              </w:rPr>
              <w:t>клиентов квалифицированными инвесторами ООО «ТАИФ-ИНВЕСТ»</w:t>
            </w:r>
            <w:r w:rsidR="00A91B78">
              <w:rPr>
                <w:rFonts w:ascii="Times New Roman" w:hAnsi="Times New Roman" w:cs="Times New Roman"/>
              </w:rPr>
              <w:t xml:space="preserve">, опубликованного на сайте </w:t>
            </w:r>
            <w:hyperlink r:id="rId11" w:history="1">
              <w:r w:rsidR="00A91B78" w:rsidRPr="00A91B78">
                <w:rPr>
                  <w:rStyle w:val="af8"/>
                  <w:rFonts w:ascii="Times New Roman" w:hAnsi="Times New Roman" w:cs="Times New Roman"/>
                </w:rPr>
                <w:t>http://taif-invest.ru/services.html</w:t>
              </w:r>
            </w:hyperlink>
          </w:p>
          <w:p w:rsidR="00A91B78" w:rsidRDefault="00A91B78" w:rsidP="00E23C3B">
            <w:pPr>
              <w:contextualSpacing/>
              <w:jc w:val="both"/>
              <w:rPr>
                <w:rFonts w:ascii="Times New Roman" w:hAnsi="Times New Roman" w:cs="Times New Roman"/>
                <w:b/>
              </w:rPr>
            </w:pPr>
          </w:p>
          <w:p w:rsidR="00883C82" w:rsidRPr="00A91B78" w:rsidRDefault="00883C82" w:rsidP="00E23C3B">
            <w:pPr>
              <w:contextualSpacing/>
              <w:jc w:val="both"/>
              <w:rPr>
                <w:rFonts w:ascii="Times New Roman" w:hAnsi="Times New Roman" w:cs="Times New Roman"/>
                <w:b/>
              </w:rPr>
            </w:pPr>
            <w:r w:rsidRPr="00A91B78">
              <w:rPr>
                <w:rFonts w:ascii="Times New Roman" w:hAnsi="Times New Roman" w:cs="Times New Roman"/>
                <w:b/>
              </w:rPr>
              <w:t>Обращаем Ваше внимание, что сделки с инструментами, предназначенными для квалифицированных инвесторов, являются более рискованными, чем сделки с инструментами, предназначенными для неквалифицированных инвесторов.</w:t>
            </w:r>
          </w:p>
        </w:tc>
      </w:tr>
      <w:tr w:rsidR="00CB6E70" w:rsidRPr="008E34DA" w:rsidTr="00FD7173">
        <w:trPr>
          <w:trHeight w:val="1211"/>
        </w:trPr>
        <w:tc>
          <w:tcPr>
            <w:tcW w:w="495" w:type="dxa"/>
          </w:tcPr>
          <w:p w:rsidR="00CB6E70" w:rsidRPr="00EF52E1" w:rsidRDefault="00CB6E70" w:rsidP="00CB6E70">
            <w:pPr>
              <w:contextualSpacing/>
              <w:jc w:val="center"/>
              <w:rPr>
                <w:rFonts w:ascii="Times New Roman" w:hAnsi="Times New Roman" w:cs="Times New Roman"/>
                <w:highlight w:val="yellow"/>
              </w:rPr>
            </w:pPr>
            <w:r w:rsidRPr="00CB6E70">
              <w:rPr>
                <w:rFonts w:ascii="Times New Roman" w:hAnsi="Times New Roman" w:cs="Times New Roman"/>
              </w:rPr>
              <w:t>8</w:t>
            </w:r>
          </w:p>
        </w:tc>
        <w:tc>
          <w:tcPr>
            <w:tcW w:w="2410" w:type="dxa"/>
          </w:tcPr>
          <w:p w:rsidR="00CB6E70" w:rsidRPr="008E34DA" w:rsidRDefault="00CB6E70" w:rsidP="00CB6E70">
            <w:pPr>
              <w:contextualSpacing/>
              <w:rPr>
                <w:rFonts w:ascii="Times New Roman" w:hAnsi="Times New Roman" w:cs="Times New Roman"/>
              </w:rPr>
            </w:pPr>
            <w:r w:rsidRPr="008E34DA">
              <w:rPr>
                <w:rFonts w:ascii="Times New Roman" w:hAnsi="Times New Roman" w:cs="Times New Roman"/>
              </w:rPr>
              <w:t xml:space="preserve">Возможность совершения маржинальных сделок и сделок, приводящих к непокрытой позиции </w:t>
            </w:r>
          </w:p>
        </w:tc>
        <w:tc>
          <w:tcPr>
            <w:tcW w:w="8047" w:type="dxa"/>
          </w:tcPr>
          <w:p w:rsidR="00CB6E70" w:rsidRPr="008E34DA" w:rsidRDefault="00CB6E70" w:rsidP="00E23C3B">
            <w:pPr>
              <w:contextualSpacing/>
              <w:jc w:val="both"/>
              <w:rPr>
                <w:rFonts w:ascii="Times New Roman" w:hAnsi="Times New Roman" w:cs="Times New Roman"/>
              </w:rPr>
            </w:pPr>
            <w:r w:rsidRPr="008E34DA">
              <w:rPr>
                <w:rFonts w:ascii="Times New Roman" w:hAnsi="Times New Roman" w:cs="Times New Roman"/>
              </w:rPr>
              <w:t xml:space="preserve">Возможность совершения маржинальных сделок и сделок, приводящих к непокрытой позиции </w:t>
            </w:r>
            <w:r w:rsidR="008A516C">
              <w:rPr>
                <w:rFonts w:ascii="Times New Roman" w:hAnsi="Times New Roman" w:cs="Times New Roman"/>
              </w:rPr>
              <w:t xml:space="preserve">в Договоре на брокерское обслуживание </w:t>
            </w:r>
            <w:r>
              <w:rPr>
                <w:rFonts w:ascii="Times New Roman" w:hAnsi="Times New Roman" w:cs="Times New Roman"/>
              </w:rPr>
              <w:t>отсутствует.</w:t>
            </w:r>
          </w:p>
        </w:tc>
      </w:tr>
      <w:tr w:rsidR="00CB6E70" w:rsidRPr="008E34DA" w:rsidTr="00FD7173">
        <w:trPr>
          <w:trHeight w:val="1265"/>
        </w:trPr>
        <w:tc>
          <w:tcPr>
            <w:tcW w:w="495" w:type="dxa"/>
          </w:tcPr>
          <w:p w:rsidR="00CB6E70" w:rsidRPr="00EF52E1" w:rsidRDefault="00CB6E70" w:rsidP="00CB6E70">
            <w:pPr>
              <w:contextualSpacing/>
              <w:jc w:val="center"/>
              <w:rPr>
                <w:rFonts w:ascii="Times New Roman" w:hAnsi="Times New Roman" w:cs="Times New Roman"/>
                <w:highlight w:val="yellow"/>
              </w:rPr>
            </w:pPr>
            <w:r w:rsidRPr="008A516C">
              <w:rPr>
                <w:rFonts w:ascii="Times New Roman" w:hAnsi="Times New Roman" w:cs="Times New Roman"/>
              </w:rPr>
              <w:t>9</w:t>
            </w:r>
          </w:p>
        </w:tc>
        <w:tc>
          <w:tcPr>
            <w:tcW w:w="2410" w:type="dxa"/>
          </w:tcPr>
          <w:p w:rsidR="00CB6E70" w:rsidRPr="008E34DA" w:rsidRDefault="00CB6E70" w:rsidP="00CB6E70">
            <w:pPr>
              <w:contextualSpacing/>
              <w:rPr>
                <w:rFonts w:ascii="Times New Roman" w:hAnsi="Times New Roman" w:cs="Times New Roman"/>
              </w:rPr>
            </w:pPr>
            <w:r w:rsidRPr="008E34DA">
              <w:rPr>
                <w:rFonts w:ascii="Times New Roman" w:hAnsi="Times New Roman" w:cs="Times New Roman"/>
              </w:rPr>
              <w:t xml:space="preserve">Возможность использования брокером принадлежащих Вам ценных бумаг </w:t>
            </w:r>
          </w:p>
        </w:tc>
        <w:tc>
          <w:tcPr>
            <w:tcW w:w="8047" w:type="dxa"/>
          </w:tcPr>
          <w:p w:rsidR="00CB6E70" w:rsidRPr="008E34DA" w:rsidRDefault="008A516C" w:rsidP="00E23C3B">
            <w:pPr>
              <w:contextualSpacing/>
              <w:jc w:val="both"/>
              <w:rPr>
                <w:rFonts w:ascii="Times New Roman" w:hAnsi="Times New Roman" w:cs="Times New Roman"/>
              </w:rPr>
            </w:pPr>
            <w:r>
              <w:rPr>
                <w:rFonts w:ascii="Times New Roman" w:hAnsi="Times New Roman" w:cs="Times New Roman"/>
              </w:rPr>
              <w:t>Возможность и</w:t>
            </w:r>
            <w:r w:rsidR="00CB6E70" w:rsidRPr="008E34DA">
              <w:rPr>
                <w:rFonts w:ascii="Times New Roman" w:hAnsi="Times New Roman" w:cs="Times New Roman"/>
              </w:rPr>
              <w:t>спользовани</w:t>
            </w:r>
            <w:r>
              <w:rPr>
                <w:rFonts w:ascii="Times New Roman" w:hAnsi="Times New Roman" w:cs="Times New Roman"/>
              </w:rPr>
              <w:t>я</w:t>
            </w:r>
            <w:r w:rsidR="00CB6E70" w:rsidRPr="008E34DA">
              <w:rPr>
                <w:rFonts w:ascii="Times New Roman" w:hAnsi="Times New Roman" w:cs="Times New Roman"/>
              </w:rPr>
              <w:t xml:space="preserve"> брокером принадлежащих клиенту ценных бумаг </w:t>
            </w:r>
            <w:r>
              <w:rPr>
                <w:rFonts w:ascii="Times New Roman" w:hAnsi="Times New Roman" w:cs="Times New Roman"/>
              </w:rPr>
              <w:t>в Договоре на брокерское обслуживание отсутствует.</w:t>
            </w:r>
          </w:p>
        </w:tc>
      </w:tr>
      <w:tr w:rsidR="00CB6E70" w:rsidRPr="008E34DA" w:rsidTr="00FD7173">
        <w:trPr>
          <w:trHeight w:val="2016"/>
        </w:trPr>
        <w:tc>
          <w:tcPr>
            <w:tcW w:w="495" w:type="dxa"/>
          </w:tcPr>
          <w:p w:rsidR="00CB6E70" w:rsidRPr="008A516C" w:rsidRDefault="00CB6E70" w:rsidP="00CB6E70">
            <w:pPr>
              <w:contextualSpacing/>
              <w:jc w:val="center"/>
              <w:rPr>
                <w:rFonts w:ascii="Times New Roman" w:hAnsi="Times New Roman" w:cs="Times New Roman"/>
              </w:rPr>
            </w:pPr>
            <w:r w:rsidRPr="008A516C">
              <w:rPr>
                <w:rFonts w:ascii="Times New Roman" w:hAnsi="Times New Roman" w:cs="Times New Roman"/>
              </w:rPr>
              <w:t>10</w:t>
            </w:r>
          </w:p>
        </w:tc>
        <w:tc>
          <w:tcPr>
            <w:tcW w:w="2410" w:type="dxa"/>
          </w:tcPr>
          <w:p w:rsidR="00CB6E70" w:rsidRPr="008E34DA" w:rsidRDefault="00CB6E70" w:rsidP="008A516C">
            <w:pPr>
              <w:contextualSpacing/>
              <w:rPr>
                <w:rFonts w:ascii="Times New Roman" w:hAnsi="Times New Roman" w:cs="Times New Roman"/>
              </w:rPr>
            </w:pPr>
            <w:r w:rsidRPr="008E34DA">
              <w:rPr>
                <w:rFonts w:ascii="Times New Roman" w:hAnsi="Times New Roman" w:cs="Times New Roman"/>
              </w:rPr>
              <w:t>Возможность использования брокером при</w:t>
            </w:r>
            <w:r w:rsidR="008A516C">
              <w:rPr>
                <w:rFonts w:ascii="Times New Roman" w:hAnsi="Times New Roman" w:cs="Times New Roman"/>
              </w:rPr>
              <w:t>надлежащих Вам денежных средств</w:t>
            </w:r>
          </w:p>
        </w:tc>
        <w:tc>
          <w:tcPr>
            <w:tcW w:w="8047" w:type="dxa"/>
          </w:tcPr>
          <w:p w:rsidR="00CB6E70" w:rsidRPr="008E34DA" w:rsidRDefault="00CB6E70" w:rsidP="00E23C3B">
            <w:pPr>
              <w:contextualSpacing/>
              <w:jc w:val="both"/>
              <w:rPr>
                <w:rFonts w:ascii="Times New Roman" w:hAnsi="Times New Roman" w:cs="Times New Roman"/>
              </w:rPr>
            </w:pPr>
            <w:r w:rsidRPr="008E34DA">
              <w:rPr>
                <w:rFonts w:ascii="Times New Roman" w:hAnsi="Times New Roman" w:cs="Times New Roman"/>
              </w:rPr>
              <w:t xml:space="preserve">Использование брокером принадлежащих клиенту денежных средств </w:t>
            </w:r>
            <w:r w:rsidRPr="00354AF7">
              <w:rPr>
                <w:rFonts w:ascii="Times New Roman" w:hAnsi="Times New Roman" w:cs="Times New Roman"/>
              </w:rPr>
              <w:t>влечет дополнительные риски. Ознакомьтесь</w:t>
            </w:r>
            <w:r w:rsidRPr="008E34DA">
              <w:rPr>
                <w:rFonts w:ascii="Times New Roman" w:hAnsi="Times New Roman" w:cs="Times New Roman"/>
              </w:rPr>
              <w:t xml:space="preserve"> с Уведомлением о рисках использования брокером в своих интересах денежных средств и (или) ценных бумаг клиента, которое брокер должен предоставить Вам до заключения договора о брокерском обслуживании. </w:t>
            </w:r>
          </w:p>
          <w:p w:rsidR="00CB6E70" w:rsidRPr="008E34DA" w:rsidRDefault="00CB6E70" w:rsidP="00E23C3B">
            <w:pPr>
              <w:contextualSpacing/>
              <w:jc w:val="both"/>
              <w:rPr>
                <w:rFonts w:ascii="Times New Roman" w:hAnsi="Times New Roman" w:cs="Times New Roman"/>
              </w:rPr>
            </w:pPr>
            <w:r w:rsidRPr="008E34DA">
              <w:rPr>
                <w:rFonts w:ascii="Times New Roman" w:hAnsi="Times New Roman" w:cs="Times New Roman"/>
              </w:rPr>
              <w:t xml:space="preserve">Вы можете запретить брокеру использовать принадлежащие Вам денежные средства. В этом случае брокер должен обеспечить обособленный учет </w:t>
            </w:r>
            <w:r w:rsidRPr="00B5318C">
              <w:rPr>
                <w:rFonts w:ascii="Times New Roman" w:hAnsi="Times New Roman" w:cs="Times New Roman"/>
              </w:rPr>
              <w:t>Ваших денежных средств.</w:t>
            </w:r>
            <w:r w:rsidRPr="008A516C">
              <w:rPr>
                <w:rFonts w:ascii="Times New Roman" w:hAnsi="Times New Roman" w:cs="Times New Roman"/>
                <w:strike/>
              </w:rPr>
              <w:t xml:space="preserve"> </w:t>
            </w:r>
          </w:p>
        </w:tc>
      </w:tr>
      <w:tr w:rsidR="00CB6E70" w:rsidRPr="008E34DA" w:rsidTr="00FD7173">
        <w:trPr>
          <w:trHeight w:val="770"/>
        </w:trPr>
        <w:tc>
          <w:tcPr>
            <w:tcW w:w="495" w:type="dxa"/>
          </w:tcPr>
          <w:p w:rsidR="00CB6E70" w:rsidRPr="00CB6E70" w:rsidRDefault="00CB6E70" w:rsidP="00CB6E70">
            <w:pPr>
              <w:contextualSpacing/>
              <w:jc w:val="center"/>
              <w:rPr>
                <w:rFonts w:ascii="Times New Roman" w:hAnsi="Times New Roman" w:cs="Times New Roman"/>
                <w:lang w:val="en-US"/>
              </w:rPr>
            </w:pPr>
            <w:r w:rsidRPr="00CB6E70">
              <w:rPr>
                <w:rFonts w:ascii="Times New Roman" w:hAnsi="Times New Roman" w:cs="Times New Roman"/>
              </w:rPr>
              <w:t>1</w:t>
            </w:r>
            <w:r w:rsidRPr="00CB6E70">
              <w:rPr>
                <w:rFonts w:ascii="Times New Roman" w:hAnsi="Times New Roman" w:cs="Times New Roman"/>
                <w:lang w:val="en-US"/>
              </w:rPr>
              <w:t>1</w:t>
            </w:r>
          </w:p>
        </w:tc>
        <w:tc>
          <w:tcPr>
            <w:tcW w:w="2410" w:type="dxa"/>
          </w:tcPr>
          <w:p w:rsidR="00CB6E70" w:rsidRPr="000A6BB0" w:rsidRDefault="00CB6E70" w:rsidP="00CB6E70">
            <w:pPr>
              <w:contextualSpacing/>
              <w:rPr>
                <w:rFonts w:ascii="Times New Roman" w:hAnsi="Times New Roman" w:cs="Times New Roman"/>
              </w:rPr>
            </w:pPr>
            <w:r w:rsidRPr="008E34DA">
              <w:rPr>
                <w:rFonts w:ascii="Times New Roman" w:hAnsi="Times New Roman" w:cs="Times New Roman"/>
              </w:rPr>
              <w:t xml:space="preserve">Способы подачи, сроки приема и исполнения поручений </w:t>
            </w:r>
          </w:p>
        </w:tc>
        <w:tc>
          <w:tcPr>
            <w:tcW w:w="8047" w:type="dxa"/>
          </w:tcPr>
          <w:p w:rsidR="00CB6E70" w:rsidRPr="00CB6E70" w:rsidRDefault="00CB6E70" w:rsidP="00E23C3B">
            <w:pPr>
              <w:contextualSpacing/>
              <w:jc w:val="both"/>
              <w:rPr>
                <w:rFonts w:ascii="Times New Roman" w:hAnsi="Times New Roman" w:cs="Times New Roman"/>
              </w:rPr>
            </w:pPr>
            <w:r w:rsidRPr="008E34DA">
              <w:rPr>
                <w:rFonts w:ascii="Times New Roman" w:hAnsi="Times New Roman" w:cs="Times New Roman"/>
              </w:rPr>
              <w:t>Договором установлены способы подачи, срок</w:t>
            </w:r>
            <w:r>
              <w:rPr>
                <w:rFonts w:ascii="Times New Roman" w:hAnsi="Times New Roman" w:cs="Times New Roman"/>
              </w:rPr>
              <w:t>и приема и исполнения поручений в соответствии со статьей 4 Договора на брокерское обслуживание ООО «ТАИФ-ИНВЕСТ» (Поручения на сделки клиента)</w:t>
            </w:r>
          </w:p>
        </w:tc>
      </w:tr>
      <w:tr w:rsidR="00CB6E70" w:rsidRPr="008E34DA" w:rsidTr="00FD7173">
        <w:trPr>
          <w:trHeight w:val="751"/>
        </w:trPr>
        <w:tc>
          <w:tcPr>
            <w:tcW w:w="495" w:type="dxa"/>
          </w:tcPr>
          <w:p w:rsidR="00CB6E70" w:rsidRPr="00EF52E1" w:rsidRDefault="00CB6E70" w:rsidP="00CB6E70">
            <w:pPr>
              <w:contextualSpacing/>
              <w:jc w:val="center"/>
              <w:rPr>
                <w:rFonts w:ascii="Times New Roman" w:hAnsi="Times New Roman" w:cs="Times New Roman"/>
                <w:highlight w:val="yellow"/>
                <w:lang w:val="en-US"/>
              </w:rPr>
            </w:pPr>
            <w:r w:rsidRPr="00CB6E70">
              <w:rPr>
                <w:rFonts w:ascii="Times New Roman" w:hAnsi="Times New Roman" w:cs="Times New Roman"/>
              </w:rPr>
              <w:t>1</w:t>
            </w:r>
            <w:r w:rsidRPr="00CB6E70">
              <w:rPr>
                <w:rFonts w:ascii="Times New Roman" w:hAnsi="Times New Roman" w:cs="Times New Roman"/>
                <w:lang w:val="en-US"/>
              </w:rPr>
              <w:t>2</w:t>
            </w:r>
          </w:p>
        </w:tc>
        <w:tc>
          <w:tcPr>
            <w:tcW w:w="2410" w:type="dxa"/>
          </w:tcPr>
          <w:p w:rsidR="00CB6E70" w:rsidRPr="008E34DA" w:rsidRDefault="00CB6E70" w:rsidP="00CB6E70">
            <w:pPr>
              <w:contextualSpacing/>
              <w:rPr>
                <w:rFonts w:ascii="Times New Roman" w:hAnsi="Times New Roman" w:cs="Times New Roman"/>
              </w:rPr>
            </w:pPr>
            <w:r w:rsidRPr="008E34DA">
              <w:rPr>
                <w:rFonts w:ascii="Times New Roman" w:hAnsi="Times New Roman" w:cs="Times New Roman"/>
              </w:rPr>
              <w:t>Способ и сроки получения клиентом отчета брокера</w:t>
            </w:r>
          </w:p>
        </w:tc>
        <w:tc>
          <w:tcPr>
            <w:tcW w:w="8047" w:type="dxa"/>
          </w:tcPr>
          <w:p w:rsidR="00CB6E70" w:rsidRPr="008E34DA" w:rsidRDefault="00CB6E70" w:rsidP="00E23C3B">
            <w:pPr>
              <w:contextualSpacing/>
              <w:jc w:val="both"/>
              <w:rPr>
                <w:rFonts w:ascii="Times New Roman" w:hAnsi="Times New Roman" w:cs="Times New Roman"/>
                <w:i/>
              </w:rPr>
            </w:pPr>
            <w:r w:rsidRPr="008E34DA">
              <w:rPr>
                <w:rFonts w:ascii="Times New Roman" w:hAnsi="Times New Roman" w:cs="Times New Roman"/>
              </w:rPr>
              <w:t xml:space="preserve">Договором установлены сроки и способ получения клиентом отчета </w:t>
            </w:r>
            <w:r>
              <w:rPr>
                <w:rFonts w:ascii="Times New Roman" w:hAnsi="Times New Roman" w:cs="Times New Roman"/>
              </w:rPr>
              <w:t>брокера в соответствии со статьей 8 Договора на брокерское обслуживание ООО «ТАИФ-ИНВЕСТ» (Учет и отчетность).</w:t>
            </w:r>
          </w:p>
        </w:tc>
      </w:tr>
      <w:tr w:rsidR="00CB6E70" w:rsidRPr="008E34DA" w:rsidTr="00FD7173">
        <w:trPr>
          <w:trHeight w:val="1014"/>
        </w:trPr>
        <w:tc>
          <w:tcPr>
            <w:tcW w:w="495" w:type="dxa"/>
          </w:tcPr>
          <w:p w:rsidR="00CB6E70" w:rsidRPr="00EF52E1" w:rsidRDefault="00CB6E70" w:rsidP="00CB6E70">
            <w:pPr>
              <w:contextualSpacing/>
              <w:jc w:val="center"/>
              <w:rPr>
                <w:rFonts w:ascii="Times New Roman" w:hAnsi="Times New Roman" w:cs="Times New Roman"/>
                <w:highlight w:val="yellow"/>
                <w:lang w:val="en-US"/>
              </w:rPr>
            </w:pPr>
            <w:r w:rsidRPr="00DC4B38">
              <w:rPr>
                <w:rFonts w:ascii="Times New Roman" w:hAnsi="Times New Roman" w:cs="Times New Roman"/>
              </w:rPr>
              <w:t>1</w:t>
            </w:r>
            <w:r w:rsidRPr="00DC4B38">
              <w:rPr>
                <w:rFonts w:ascii="Times New Roman" w:hAnsi="Times New Roman" w:cs="Times New Roman"/>
                <w:lang w:val="en-US"/>
              </w:rPr>
              <w:t>3</w:t>
            </w:r>
          </w:p>
        </w:tc>
        <w:tc>
          <w:tcPr>
            <w:tcW w:w="2410" w:type="dxa"/>
          </w:tcPr>
          <w:p w:rsidR="00CB6E70" w:rsidRPr="008E34DA" w:rsidRDefault="00CB6E70" w:rsidP="00CB6E70">
            <w:pPr>
              <w:contextualSpacing/>
              <w:rPr>
                <w:rFonts w:ascii="Times New Roman" w:hAnsi="Times New Roman" w:cs="Times New Roman"/>
              </w:rPr>
            </w:pPr>
            <w:r w:rsidRPr="008E34DA">
              <w:rPr>
                <w:rFonts w:ascii="Times New Roman" w:hAnsi="Times New Roman" w:cs="Times New Roman"/>
              </w:rPr>
              <w:t>Ограничение ответственности брокера</w:t>
            </w:r>
          </w:p>
        </w:tc>
        <w:tc>
          <w:tcPr>
            <w:tcW w:w="8047" w:type="dxa"/>
          </w:tcPr>
          <w:p w:rsidR="00CB6E70" w:rsidRPr="00DC4B38" w:rsidRDefault="00CB6E70" w:rsidP="00E23C3B">
            <w:pPr>
              <w:contextualSpacing/>
              <w:jc w:val="both"/>
              <w:rPr>
                <w:rFonts w:ascii="Times New Roman" w:hAnsi="Times New Roman" w:cs="Times New Roman"/>
              </w:rPr>
            </w:pPr>
            <w:r w:rsidRPr="00DC4B38">
              <w:rPr>
                <w:rFonts w:ascii="Times New Roman" w:hAnsi="Times New Roman" w:cs="Times New Roman"/>
              </w:rPr>
              <w:t>В соответствии с договором, ответственность брокера ограничена в случаях, установленных законодательством, статьей 11 Договора на брокерское обслуживание ООО «ТАИФ-ИНВЕСТ» и статьей 20 Регламента оказания услуг на рынке ценных бумаг ООО «ТАИФ-ИНВЕСТ».</w:t>
            </w:r>
          </w:p>
        </w:tc>
      </w:tr>
      <w:tr w:rsidR="00CB6E70" w:rsidRPr="008E34DA" w:rsidTr="00FD7173">
        <w:trPr>
          <w:trHeight w:val="1265"/>
        </w:trPr>
        <w:tc>
          <w:tcPr>
            <w:tcW w:w="495" w:type="dxa"/>
          </w:tcPr>
          <w:p w:rsidR="00CB6E70" w:rsidRPr="00EF52E1" w:rsidRDefault="00CB6E70" w:rsidP="00CB6E70">
            <w:pPr>
              <w:contextualSpacing/>
              <w:jc w:val="center"/>
              <w:rPr>
                <w:rFonts w:ascii="Times New Roman" w:hAnsi="Times New Roman" w:cs="Times New Roman"/>
                <w:highlight w:val="yellow"/>
                <w:lang w:val="en-US"/>
              </w:rPr>
            </w:pPr>
            <w:r w:rsidRPr="00CB6E70">
              <w:rPr>
                <w:rFonts w:ascii="Times New Roman" w:hAnsi="Times New Roman" w:cs="Times New Roman"/>
              </w:rPr>
              <w:t>1</w:t>
            </w:r>
            <w:r w:rsidRPr="00CB6E70">
              <w:rPr>
                <w:rFonts w:ascii="Times New Roman" w:hAnsi="Times New Roman" w:cs="Times New Roman"/>
                <w:lang w:val="en-US"/>
              </w:rPr>
              <w:t>4</w:t>
            </w:r>
          </w:p>
        </w:tc>
        <w:tc>
          <w:tcPr>
            <w:tcW w:w="2410" w:type="dxa"/>
          </w:tcPr>
          <w:p w:rsidR="00CB6E70" w:rsidRPr="008E34DA" w:rsidRDefault="00CB6E70" w:rsidP="00CB6E70">
            <w:pPr>
              <w:contextualSpacing/>
              <w:rPr>
                <w:rFonts w:ascii="Times New Roman" w:hAnsi="Times New Roman" w:cs="Times New Roman"/>
              </w:rPr>
            </w:pPr>
            <w:r w:rsidRPr="008E34DA">
              <w:rPr>
                <w:rFonts w:ascii="Times New Roman" w:hAnsi="Times New Roman" w:cs="Times New Roman"/>
              </w:rPr>
              <w:t xml:space="preserve">Осуществление брокером функций налогового агента </w:t>
            </w:r>
          </w:p>
        </w:tc>
        <w:tc>
          <w:tcPr>
            <w:tcW w:w="8047" w:type="dxa"/>
          </w:tcPr>
          <w:p w:rsidR="00E23C3B" w:rsidRDefault="002F43D1" w:rsidP="00E23C3B">
            <w:pPr>
              <w:contextualSpacing/>
              <w:jc w:val="both"/>
              <w:rPr>
                <w:rFonts w:ascii="Times New Roman" w:hAnsi="Times New Roman" w:cs="Times New Roman"/>
              </w:rPr>
            </w:pPr>
            <w:r w:rsidRPr="002F43D1">
              <w:rPr>
                <w:rFonts w:ascii="Times New Roman" w:hAnsi="Times New Roman" w:cs="Times New Roman"/>
              </w:rPr>
              <w:t xml:space="preserve">Брокер осуществляет функцию налогового агента в порядке и в случаях, установленных </w:t>
            </w:r>
            <w:proofErr w:type="spellStart"/>
            <w:r w:rsidRPr="002F43D1">
              <w:rPr>
                <w:rFonts w:ascii="Times New Roman" w:hAnsi="Times New Roman" w:cs="Times New Roman"/>
              </w:rPr>
              <w:t>ст.ст</w:t>
            </w:r>
            <w:proofErr w:type="spellEnd"/>
            <w:r w:rsidRPr="002F43D1">
              <w:rPr>
                <w:rFonts w:ascii="Times New Roman" w:hAnsi="Times New Roman" w:cs="Times New Roman"/>
              </w:rPr>
              <w:t xml:space="preserve">. 212, 214.1, 214.3, 214.4 и 214.9 НК РФ. </w:t>
            </w:r>
          </w:p>
          <w:p w:rsidR="00E23C3B" w:rsidRDefault="002F43D1" w:rsidP="00E23C3B">
            <w:pPr>
              <w:contextualSpacing/>
              <w:jc w:val="both"/>
              <w:rPr>
                <w:rFonts w:ascii="Times New Roman" w:hAnsi="Times New Roman" w:cs="Times New Roman"/>
              </w:rPr>
            </w:pPr>
            <w:r w:rsidRPr="002F43D1">
              <w:rPr>
                <w:rFonts w:ascii="Times New Roman" w:hAnsi="Times New Roman" w:cs="Times New Roman"/>
              </w:rPr>
              <w:t xml:space="preserve">По окончании отчетного года в период с 1 по 31 января Брокер удерживает налог со счета физического лица. Если средств на счете инвестора недостаточно, то брокер до 1 марта передает в ФНС сведения о начисленной, но не уплаченной сумме налога (п. 14 ст. 226.1 НК РФ). В этом случае уплату НДФЛ клиент обязан произвести самостоятельно до 1 декабря. </w:t>
            </w:r>
          </w:p>
          <w:p w:rsidR="00E23C3B" w:rsidRDefault="002F43D1" w:rsidP="00E23C3B">
            <w:pPr>
              <w:contextualSpacing/>
              <w:jc w:val="both"/>
              <w:rPr>
                <w:rFonts w:ascii="Times New Roman" w:hAnsi="Times New Roman" w:cs="Times New Roman"/>
              </w:rPr>
            </w:pPr>
            <w:r w:rsidRPr="002F43D1">
              <w:rPr>
                <w:rFonts w:ascii="Times New Roman" w:hAnsi="Times New Roman" w:cs="Times New Roman"/>
              </w:rPr>
              <w:t>Случаи, когда брокер не выступает налоговым агентом, в которых клиент-физическое лицо обязан самостоятельно рассчитать налог и отчитаться по доходам в декларации 3-НДФЛ:</w:t>
            </w:r>
          </w:p>
          <w:p w:rsidR="00E23C3B" w:rsidRPr="00E23C3B" w:rsidRDefault="002F43D1" w:rsidP="00E23C3B">
            <w:pPr>
              <w:pStyle w:val="af9"/>
              <w:numPr>
                <w:ilvl w:val="0"/>
                <w:numId w:val="2"/>
              </w:numPr>
              <w:spacing w:after="0" w:line="240" w:lineRule="auto"/>
              <w:jc w:val="both"/>
              <w:rPr>
                <w:rFonts w:ascii="Times New Roman" w:hAnsi="Times New Roman" w:cs="Times New Roman"/>
              </w:rPr>
            </w:pPr>
            <w:r w:rsidRPr="00E23C3B">
              <w:rPr>
                <w:rFonts w:ascii="Times New Roman" w:hAnsi="Times New Roman" w:cs="Times New Roman"/>
              </w:rPr>
              <w:t>доход получен у зарубежного брокера;</w:t>
            </w:r>
          </w:p>
          <w:p w:rsidR="00E23C3B" w:rsidRPr="00E23C3B" w:rsidRDefault="002F43D1" w:rsidP="00E23C3B">
            <w:pPr>
              <w:pStyle w:val="af9"/>
              <w:numPr>
                <w:ilvl w:val="0"/>
                <w:numId w:val="2"/>
              </w:numPr>
              <w:spacing w:after="0" w:line="240" w:lineRule="auto"/>
              <w:jc w:val="both"/>
              <w:rPr>
                <w:rFonts w:ascii="Times New Roman" w:hAnsi="Times New Roman" w:cs="Times New Roman"/>
              </w:rPr>
            </w:pPr>
            <w:r w:rsidRPr="00E23C3B">
              <w:rPr>
                <w:rFonts w:ascii="Times New Roman" w:hAnsi="Times New Roman" w:cs="Times New Roman"/>
              </w:rPr>
              <w:t xml:space="preserve">доход получен от операций с иностранной валютой; </w:t>
            </w:r>
          </w:p>
          <w:p w:rsidR="00E23C3B" w:rsidRPr="00E23C3B" w:rsidRDefault="002F43D1" w:rsidP="00E23C3B">
            <w:pPr>
              <w:pStyle w:val="af9"/>
              <w:numPr>
                <w:ilvl w:val="0"/>
                <w:numId w:val="2"/>
              </w:numPr>
              <w:spacing w:after="0" w:line="240" w:lineRule="auto"/>
              <w:jc w:val="both"/>
              <w:rPr>
                <w:rFonts w:ascii="Times New Roman" w:hAnsi="Times New Roman" w:cs="Times New Roman"/>
              </w:rPr>
            </w:pPr>
            <w:r w:rsidRPr="00E23C3B">
              <w:rPr>
                <w:rFonts w:ascii="Times New Roman" w:hAnsi="Times New Roman" w:cs="Times New Roman"/>
              </w:rPr>
              <w:t xml:space="preserve">при переносе убытков прошлых лет; </w:t>
            </w:r>
          </w:p>
          <w:p w:rsidR="00E23C3B" w:rsidRDefault="002F43D1" w:rsidP="00E23C3B">
            <w:pPr>
              <w:pStyle w:val="af9"/>
              <w:numPr>
                <w:ilvl w:val="0"/>
                <w:numId w:val="2"/>
              </w:numPr>
              <w:spacing w:after="0" w:line="240" w:lineRule="auto"/>
              <w:jc w:val="both"/>
              <w:rPr>
                <w:rFonts w:ascii="Times New Roman" w:hAnsi="Times New Roman" w:cs="Times New Roman"/>
              </w:rPr>
            </w:pPr>
            <w:r w:rsidRPr="00E23C3B">
              <w:rPr>
                <w:rFonts w:ascii="Times New Roman" w:hAnsi="Times New Roman" w:cs="Times New Roman"/>
              </w:rPr>
              <w:t>другие случаи, когда налоговый агент не исполнил свои обязанности по НДФЛ.</w:t>
            </w:r>
          </w:p>
          <w:p w:rsidR="00CB6E70" w:rsidRPr="00E23C3B" w:rsidRDefault="002F43D1" w:rsidP="00E23C3B">
            <w:pPr>
              <w:pStyle w:val="af9"/>
              <w:spacing w:after="0" w:line="240" w:lineRule="auto"/>
              <w:ind w:left="0"/>
              <w:jc w:val="both"/>
              <w:rPr>
                <w:rFonts w:ascii="Times New Roman" w:hAnsi="Times New Roman" w:cs="Times New Roman"/>
              </w:rPr>
            </w:pPr>
            <w:r w:rsidRPr="00E23C3B">
              <w:rPr>
                <w:rFonts w:ascii="Times New Roman" w:hAnsi="Times New Roman" w:cs="Times New Roman"/>
              </w:rPr>
              <w:t xml:space="preserve">Если инвестор получает доходы или убытки от разных брокеров, то </w:t>
            </w:r>
            <w:proofErr w:type="spellStart"/>
            <w:r w:rsidRPr="00E23C3B">
              <w:rPr>
                <w:rFonts w:ascii="Times New Roman" w:hAnsi="Times New Roman" w:cs="Times New Roman"/>
              </w:rPr>
              <w:t>сальдирование</w:t>
            </w:r>
            <w:proofErr w:type="spellEnd"/>
            <w:r w:rsidRPr="00E23C3B">
              <w:rPr>
                <w:rFonts w:ascii="Times New Roman" w:hAnsi="Times New Roman" w:cs="Times New Roman"/>
              </w:rPr>
              <w:t xml:space="preserve"> финансовых результатов он производит самостоятельно в декларации. Декларацию по форме 3-НДФЛ нужно подать до 30 апреля года, следующего за отчетным</w:t>
            </w:r>
          </w:p>
        </w:tc>
      </w:tr>
      <w:tr w:rsidR="00CB6E70" w:rsidRPr="008E34DA" w:rsidTr="00FD7173">
        <w:trPr>
          <w:trHeight w:val="4883"/>
        </w:trPr>
        <w:tc>
          <w:tcPr>
            <w:tcW w:w="495" w:type="dxa"/>
          </w:tcPr>
          <w:p w:rsidR="00CB6E70" w:rsidRPr="008E34DA" w:rsidRDefault="00CB6E70" w:rsidP="00CB6E70">
            <w:pPr>
              <w:contextualSpacing/>
              <w:jc w:val="center"/>
              <w:rPr>
                <w:rFonts w:ascii="Times New Roman" w:hAnsi="Times New Roman" w:cs="Times New Roman"/>
                <w:lang w:val="en-US"/>
              </w:rPr>
            </w:pPr>
            <w:r w:rsidRPr="008E34DA">
              <w:rPr>
                <w:rFonts w:ascii="Times New Roman" w:hAnsi="Times New Roman" w:cs="Times New Roman"/>
              </w:rPr>
              <w:t>1</w:t>
            </w:r>
            <w:r w:rsidRPr="008E34DA">
              <w:rPr>
                <w:rFonts w:ascii="Times New Roman" w:hAnsi="Times New Roman" w:cs="Times New Roman"/>
                <w:lang w:val="en-US"/>
              </w:rPr>
              <w:t>5</w:t>
            </w:r>
          </w:p>
        </w:tc>
        <w:tc>
          <w:tcPr>
            <w:tcW w:w="2410" w:type="dxa"/>
          </w:tcPr>
          <w:p w:rsidR="00CB6E70" w:rsidRPr="008E34DA" w:rsidRDefault="00CB6E70" w:rsidP="00CB6E70">
            <w:pPr>
              <w:contextualSpacing/>
              <w:rPr>
                <w:rFonts w:ascii="Times New Roman" w:hAnsi="Times New Roman" w:cs="Times New Roman"/>
              </w:rPr>
            </w:pPr>
            <w:r w:rsidRPr="008E34DA">
              <w:rPr>
                <w:rFonts w:ascii="Times New Roman" w:hAnsi="Times New Roman" w:cs="Times New Roman"/>
              </w:rPr>
              <w:t xml:space="preserve">О способах и адресах направления обращений (жалоб) </w:t>
            </w:r>
          </w:p>
        </w:tc>
        <w:tc>
          <w:tcPr>
            <w:tcW w:w="8047" w:type="dxa"/>
          </w:tcPr>
          <w:p w:rsidR="00CB6E70" w:rsidRDefault="00CB6E70" w:rsidP="00E23C3B">
            <w:pPr>
              <w:jc w:val="both"/>
              <w:rPr>
                <w:rFonts w:ascii="Times New Roman" w:hAnsi="Times New Roman" w:cs="Times New Roman"/>
              </w:rPr>
            </w:pPr>
            <w:r w:rsidRPr="008E34DA">
              <w:rPr>
                <w:rFonts w:ascii="Times New Roman" w:hAnsi="Times New Roman" w:cs="Times New Roman"/>
              </w:rPr>
              <w:t xml:space="preserve">Вы можете направить обращение (жалобу): </w:t>
            </w:r>
          </w:p>
          <w:p w:rsidR="00CB6E70" w:rsidRPr="008751A5" w:rsidRDefault="00CB6E70" w:rsidP="00E23C3B">
            <w:pPr>
              <w:numPr>
                <w:ilvl w:val="0"/>
                <w:numId w:val="1"/>
              </w:numPr>
              <w:ind w:left="0" w:firstLine="0"/>
              <w:jc w:val="both"/>
              <w:rPr>
                <w:rFonts w:ascii="Times New Roman" w:hAnsi="Times New Roman" w:cs="Times New Roman"/>
              </w:rPr>
            </w:pPr>
            <w:r w:rsidRPr="008751A5">
              <w:rPr>
                <w:rFonts w:ascii="Times New Roman" w:hAnsi="Times New Roman" w:cs="Times New Roman"/>
              </w:rPr>
              <w:t>почтой (420043, РФ</w:t>
            </w:r>
            <w:bookmarkStart w:id="0" w:name="_GoBack"/>
            <w:bookmarkEnd w:id="0"/>
            <w:r w:rsidRPr="008751A5">
              <w:rPr>
                <w:rFonts w:ascii="Times New Roman" w:hAnsi="Times New Roman" w:cs="Times New Roman"/>
              </w:rPr>
              <w:t xml:space="preserve">, РТ, </w:t>
            </w:r>
            <w:proofErr w:type="spellStart"/>
            <w:r w:rsidRPr="008751A5">
              <w:rPr>
                <w:rFonts w:ascii="Times New Roman" w:hAnsi="Times New Roman" w:cs="Times New Roman"/>
              </w:rPr>
              <w:t>г.Казань</w:t>
            </w:r>
            <w:proofErr w:type="spellEnd"/>
            <w:r w:rsidRPr="008751A5">
              <w:rPr>
                <w:rFonts w:ascii="Times New Roman" w:hAnsi="Times New Roman" w:cs="Times New Roman"/>
              </w:rPr>
              <w:t>, а/я 07)</w:t>
            </w:r>
          </w:p>
          <w:p w:rsidR="00CB6E70" w:rsidRPr="008751A5" w:rsidRDefault="00CB6E70" w:rsidP="00E23C3B">
            <w:pPr>
              <w:numPr>
                <w:ilvl w:val="0"/>
                <w:numId w:val="1"/>
              </w:numPr>
              <w:ind w:left="0" w:firstLine="0"/>
              <w:contextualSpacing/>
              <w:jc w:val="both"/>
              <w:rPr>
                <w:rFonts w:ascii="Times New Roman" w:hAnsi="Times New Roman" w:cs="Times New Roman"/>
              </w:rPr>
            </w:pPr>
            <w:r w:rsidRPr="008751A5">
              <w:rPr>
                <w:rFonts w:ascii="Times New Roman" w:hAnsi="Times New Roman" w:cs="Times New Roman"/>
              </w:rPr>
              <w:t xml:space="preserve">экспресс-почтой (420043, РФ, РТ, </w:t>
            </w:r>
            <w:proofErr w:type="spellStart"/>
            <w:r w:rsidRPr="008751A5">
              <w:rPr>
                <w:rFonts w:ascii="Times New Roman" w:hAnsi="Times New Roman" w:cs="Times New Roman"/>
              </w:rPr>
              <w:t>г.Казань</w:t>
            </w:r>
            <w:proofErr w:type="spellEnd"/>
            <w:r w:rsidRPr="008751A5">
              <w:rPr>
                <w:rFonts w:ascii="Times New Roman" w:hAnsi="Times New Roman" w:cs="Times New Roman"/>
              </w:rPr>
              <w:t xml:space="preserve">, ул. Вишневского, д.6/44) </w:t>
            </w:r>
          </w:p>
          <w:p w:rsidR="00CB6E70" w:rsidRPr="008751A5" w:rsidRDefault="00CB6E70" w:rsidP="00E23C3B">
            <w:pPr>
              <w:numPr>
                <w:ilvl w:val="0"/>
                <w:numId w:val="1"/>
              </w:numPr>
              <w:ind w:left="0" w:firstLine="0"/>
              <w:contextualSpacing/>
              <w:jc w:val="both"/>
              <w:rPr>
                <w:rFonts w:ascii="Times New Roman" w:hAnsi="Times New Roman" w:cs="Times New Roman"/>
              </w:rPr>
            </w:pPr>
            <w:r w:rsidRPr="008751A5">
              <w:rPr>
                <w:rFonts w:ascii="Times New Roman" w:hAnsi="Times New Roman" w:cs="Times New Roman"/>
              </w:rPr>
              <w:t>электронной почтой (</w:t>
            </w:r>
            <w:hyperlink r:id="rId12" w:history="1">
              <w:r w:rsidRPr="008751A5">
                <w:rPr>
                  <w:rStyle w:val="af8"/>
                  <w:rFonts w:ascii="Times New Roman" w:hAnsi="Times New Roman" w:cs="Times New Roman"/>
                </w:rPr>
                <w:t>office@taif-invest.ru</w:t>
              </w:r>
            </w:hyperlink>
            <w:r w:rsidRPr="008751A5">
              <w:rPr>
                <w:rFonts w:ascii="Times New Roman" w:hAnsi="Times New Roman" w:cs="Times New Roman"/>
              </w:rPr>
              <w:t xml:space="preserve">) </w:t>
            </w:r>
          </w:p>
          <w:p w:rsidR="00CB6E70" w:rsidRPr="008751A5" w:rsidRDefault="00CB6E70" w:rsidP="00E23C3B">
            <w:pPr>
              <w:numPr>
                <w:ilvl w:val="0"/>
                <w:numId w:val="1"/>
              </w:numPr>
              <w:ind w:left="0" w:firstLine="0"/>
              <w:contextualSpacing/>
              <w:jc w:val="both"/>
              <w:rPr>
                <w:rFonts w:ascii="Times New Roman" w:hAnsi="Times New Roman" w:cs="Times New Roman"/>
              </w:rPr>
            </w:pPr>
            <w:r w:rsidRPr="008751A5">
              <w:rPr>
                <w:rFonts w:ascii="Times New Roman" w:hAnsi="Times New Roman" w:cs="Times New Roman"/>
              </w:rPr>
              <w:t xml:space="preserve">факсимильной связью ((843)236-33-24) </w:t>
            </w:r>
          </w:p>
          <w:p w:rsidR="00CB6E70" w:rsidRPr="008751A5" w:rsidRDefault="00CB6E70" w:rsidP="00E23C3B">
            <w:pPr>
              <w:numPr>
                <w:ilvl w:val="0"/>
                <w:numId w:val="1"/>
              </w:numPr>
              <w:ind w:left="0" w:firstLine="0"/>
              <w:contextualSpacing/>
              <w:jc w:val="both"/>
              <w:rPr>
                <w:rFonts w:ascii="Times New Roman" w:hAnsi="Times New Roman" w:cs="Times New Roman"/>
              </w:rPr>
            </w:pPr>
            <w:r w:rsidRPr="008751A5">
              <w:rPr>
                <w:rFonts w:ascii="Times New Roman" w:hAnsi="Times New Roman" w:cs="Times New Roman"/>
              </w:rPr>
              <w:t>представить нарочно</w:t>
            </w:r>
            <w:r>
              <w:rPr>
                <w:rFonts w:ascii="Times New Roman" w:hAnsi="Times New Roman" w:cs="Times New Roman"/>
              </w:rPr>
              <w:t xml:space="preserve"> (по адресу местонахождения</w:t>
            </w:r>
            <w:r w:rsidRPr="008751A5">
              <w:rPr>
                <w:rFonts w:ascii="Times New Roman" w:hAnsi="Times New Roman" w:cs="Times New Roman"/>
              </w:rPr>
              <w:t>)</w:t>
            </w:r>
          </w:p>
          <w:p w:rsidR="00CB6E70" w:rsidRPr="008E34DA" w:rsidRDefault="00CB6E70" w:rsidP="00E23C3B">
            <w:pPr>
              <w:contextualSpacing/>
              <w:jc w:val="both"/>
              <w:rPr>
                <w:rFonts w:ascii="Times New Roman" w:hAnsi="Times New Roman" w:cs="Times New Roman"/>
                <w:i/>
              </w:rPr>
            </w:pPr>
          </w:p>
          <w:p w:rsidR="00CB6E70" w:rsidRDefault="00CB6E70" w:rsidP="00E23C3B">
            <w:pPr>
              <w:contextualSpacing/>
              <w:jc w:val="both"/>
              <w:rPr>
                <w:rFonts w:ascii="Times New Roman" w:hAnsi="Times New Roman" w:cs="Times New Roman"/>
              </w:rPr>
            </w:pPr>
            <w:r w:rsidRPr="008E34DA">
              <w:rPr>
                <w:rFonts w:ascii="Times New Roman" w:hAnsi="Times New Roman" w:cs="Times New Roman"/>
              </w:rPr>
              <w:t xml:space="preserve">Также Вы можете направить жалобу (обращение) о возможном нарушении брокером требований законодательства Российской Федерации о рынке ценных бумаг в Банк России, и о возможном нарушении базовых и внутренних стандартов саморегулируемой организации в сфере финансового рынка, объединяющей брокеров – в НАУФОР.  </w:t>
            </w:r>
          </w:p>
          <w:p w:rsidR="00CB6E70" w:rsidRDefault="00CB6E70" w:rsidP="00E23C3B">
            <w:pPr>
              <w:contextualSpacing/>
              <w:jc w:val="both"/>
              <w:rPr>
                <w:rFonts w:ascii="Times New Roman" w:hAnsi="Times New Roman" w:cs="Times New Roman"/>
              </w:rPr>
            </w:pPr>
          </w:p>
          <w:p w:rsidR="00CB6E70" w:rsidRPr="000823DD" w:rsidRDefault="00CB6E70" w:rsidP="00E23C3B">
            <w:pPr>
              <w:contextualSpacing/>
              <w:jc w:val="both"/>
              <w:rPr>
                <w:rFonts w:ascii="Times New Roman" w:hAnsi="Times New Roman" w:cs="Times New Roman"/>
                <w:u w:val="single"/>
              </w:rPr>
            </w:pPr>
            <w:r w:rsidRPr="000823DD">
              <w:rPr>
                <w:rFonts w:ascii="Times New Roman" w:hAnsi="Times New Roman" w:cs="Times New Roman"/>
              </w:rPr>
              <w:t xml:space="preserve">Способы и адреса направления обращений (жалоб) в Центральный Банк Российской Федерации – </w:t>
            </w:r>
            <w:hyperlink r:id="rId13" w:history="1">
              <w:r w:rsidRPr="000823DD">
                <w:rPr>
                  <w:rStyle w:val="af8"/>
                  <w:rFonts w:ascii="Times New Roman" w:hAnsi="Times New Roman" w:cs="Times New Roman"/>
                </w:rPr>
                <w:t>http://www.cbr.ru/contacts/</w:t>
              </w:r>
            </w:hyperlink>
          </w:p>
          <w:p w:rsidR="00E23C3B" w:rsidRDefault="00E23C3B" w:rsidP="00E23C3B">
            <w:pPr>
              <w:contextualSpacing/>
              <w:jc w:val="both"/>
              <w:rPr>
                <w:rFonts w:ascii="Times New Roman" w:hAnsi="Times New Roman" w:cs="Times New Roman"/>
              </w:rPr>
            </w:pPr>
          </w:p>
          <w:p w:rsidR="00CB6E70" w:rsidRPr="000823DD" w:rsidRDefault="00CB6E70" w:rsidP="00E23C3B">
            <w:pPr>
              <w:contextualSpacing/>
              <w:jc w:val="both"/>
              <w:rPr>
                <w:rFonts w:ascii="Times New Roman" w:hAnsi="Times New Roman" w:cs="Times New Roman"/>
              </w:rPr>
            </w:pPr>
            <w:r w:rsidRPr="000823DD">
              <w:rPr>
                <w:rFonts w:ascii="Times New Roman" w:hAnsi="Times New Roman" w:cs="Times New Roman"/>
              </w:rPr>
              <w:t>Способы и адреса направления обращений (жалоб) в НАУФОР</w:t>
            </w:r>
            <w:r>
              <w:rPr>
                <w:rFonts w:ascii="Times New Roman" w:hAnsi="Times New Roman" w:cs="Times New Roman"/>
              </w:rPr>
              <w:t>:</w:t>
            </w:r>
            <w:r w:rsidRPr="000823DD">
              <w:rPr>
                <w:rFonts w:ascii="Times New Roman" w:hAnsi="Times New Roman" w:cs="Times New Roman"/>
              </w:rPr>
              <w:t xml:space="preserve"> </w:t>
            </w:r>
            <w:hyperlink r:id="rId14" w:history="1">
              <w:r w:rsidRPr="000823DD">
                <w:rPr>
                  <w:rStyle w:val="af8"/>
                  <w:rFonts w:ascii="Times New Roman" w:hAnsi="Times New Roman" w:cs="Times New Roman"/>
                </w:rPr>
                <w:t>http://www.naufor.org/tree.asp?n=22773</w:t>
              </w:r>
            </w:hyperlink>
            <w:r w:rsidRPr="000823DD">
              <w:rPr>
                <w:rFonts w:ascii="Times New Roman" w:hAnsi="Times New Roman" w:cs="Times New Roman"/>
              </w:rPr>
              <w:t xml:space="preserve"> </w:t>
            </w:r>
            <w:r>
              <w:rPr>
                <w:rFonts w:ascii="Times New Roman" w:hAnsi="Times New Roman" w:cs="Times New Roman"/>
              </w:rPr>
              <w:t>- в</w:t>
            </w:r>
            <w:r w:rsidRPr="000F5AAE">
              <w:rPr>
                <w:rFonts w:ascii="Times New Roman" w:hAnsi="Times New Roman" w:cs="Times New Roman"/>
              </w:rPr>
              <w:t xml:space="preserve"> электронном виде</w:t>
            </w:r>
          </w:p>
          <w:p w:rsidR="00CB6E70" w:rsidRPr="008E34DA" w:rsidRDefault="00E23C3B" w:rsidP="00E23C3B">
            <w:pPr>
              <w:contextualSpacing/>
              <w:jc w:val="both"/>
              <w:rPr>
                <w:rFonts w:ascii="Times New Roman" w:hAnsi="Times New Roman" w:cs="Times New Roman"/>
              </w:rPr>
            </w:pPr>
            <w:hyperlink r:id="rId15" w:history="1">
              <w:r w:rsidR="00CB6E70" w:rsidRPr="000823DD">
                <w:rPr>
                  <w:rStyle w:val="af8"/>
                  <w:rFonts w:ascii="Times New Roman" w:hAnsi="Times New Roman" w:cs="Times New Roman"/>
                </w:rPr>
                <w:t>http://www.naufor.org/tree.asp?n=4339</w:t>
              </w:r>
            </w:hyperlink>
            <w:r w:rsidR="00CB6E70" w:rsidRPr="000823DD">
              <w:rPr>
                <w:rFonts w:ascii="Times New Roman" w:hAnsi="Times New Roman" w:cs="Times New Roman"/>
              </w:rPr>
              <w:t xml:space="preserve"> </w:t>
            </w:r>
            <w:r w:rsidR="00CB6E70">
              <w:rPr>
                <w:rFonts w:ascii="Times New Roman" w:hAnsi="Times New Roman" w:cs="Times New Roman"/>
              </w:rPr>
              <w:t>- н</w:t>
            </w:r>
            <w:r w:rsidR="00CB6E70" w:rsidRPr="000F5AAE">
              <w:rPr>
                <w:rFonts w:ascii="Times New Roman" w:hAnsi="Times New Roman" w:cs="Times New Roman"/>
              </w:rPr>
              <w:t>а бумажном носителе</w:t>
            </w:r>
          </w:p>
        </w:tc>
      </w:tr>
      <w:tr w:rsidR="00CB6E70" w:rsidRPr="008E34DA" w:rsidTr="00FD7173">
        <w:trPr>
          <w:trHeight w:val="2529"/>
        </w:trPr>
        <w:tc>
          <w:tcPr>
            <w:tcW w:w="495" w:type="dxa"/>
          </w:tcPr>
          <w:p w:rsidR="00CB6E70" w:rsidRPr="008E34DA" w:rsidRDefault="00CB6E70" w:rsidP="00CB6E70">
            <w:pPr>
              <w:contextualSpacing/>
              <w:jc w:val="center"/>
              <w:rPr>
                <w:rFonts w:ascii="Times New Roman" w:hAnsi="Times New Roman" w:cs="Times New Roman"/>
              </w:rPr>
            </w:pPr>
            <w:r w:rsidRPr="008E34DA">
              <w:rPr>
                <w:rFonts w:ascii="Times New Roman" w:hAnsi="Times New Roman" w:cs="Times New Roman"/>
              </w:rPr>
              <w:t>1</w:t>
            </w:r>
            <w:r>
              <w:rPr>
                <w:rFonts w:ascii="Times New Roman" w:hAnsi="Times New Roman" w:cs="Times New Roman"/>
              </w:rPr>
              <w:t>6</w:t>
            </w:r>
            <w:r w:rsidRPr="008E34DA">
              <w:rPr>
                <w:rFonts w:ascii="Times New Roman" w:hAnsi="Times New Roman" w:cs="Times New Roman"/>
              </w:rPr>
              <w:t xml:space="preserve"> </w:t>
            </w:r>
          </w:p>
        </w:tc>
        <w:tc>
          <w:tcPr>
            <w:tcW w:w="2410" w:type="dxa"/>
          </w:tcPr>
          <w:p w:rsidR="00CB6E70" w:rsidRPr="008E34DA" w:rsidRDefault="00CB6E70" w:rsidP="00CB6E70">
            <w:pPr>
              <w:contextualSpacing/>
              <w:rPr>
                <w:rFonts w:ascii="Times New Roman" w:hAnsi="Times New Roman" w:cs="Times New Roman"/>
              </w:rPr>
            </w:pPr>
            <w:r w:rsidRPr="008E34DA">
              <w:rPr>
                <w:rFonts w:ascii="Times New Roman" w:hAnsi="Times New Roman" w:cs="Times New Roman"/>
              </w:rPr>
              <w:t xml:space="preserve">Порядок урегулирования споров </w:t>
            </w:r>
          </w:p>
        </w:tc>
        <w:tc>
          <w:tcPr>
            <w:tcW w:w="8047" w:type="dxa"/>
          </w:tcPr>
          <w:p w:rsidR="00CB6E70" w:rsidRPr="00FD7173" w:rsidRDefault="00CB6E70" w:rsidP="00E23C3B">
            <w:pPr>
              <w:contextualSpacing/>
              <w:jc w:val="both"/>
              <w:rPr>
                <w:rFonts w:ascii="Times New Roman" w:eastAsia="Times New Roman" w:hAnsi="Times New Roman" w:cs="Times New Roman"/>
                <w:lang w:eastAsia="ru-RU"/>
              </w:rPr>
            </w:pPr>
            <w:r w:rsidRPr="00FD7173">
              <w:rPr>
                <w:rFonts w:ascii="Times New Roman" w:eastAsia="Times New Roman" w:hAnsi="Times New Roman" w:cs="Times New Roman"/>
                <w:lang w:eastAsia="ru-RU"/>
              </w:rPr>
              <w:t xml:space="preserve">При рассмотрении всех спорных вопросов и разногласий между </w:t>
            </w:r>
            <w:r w:rsidR="00E23C3B">
              <w:rPr>
                <w:rFonts w:ascii="Times New Roman" w:eastAsia="Times New Roman" w:hAnsi="Times New Roman" w:cs="Times New Roman"/>
                <w:lang w:eastAsia="ru-RU"/>
              </w:rPr>
              <w:t>брокером</w:t>
            </w:r>
            <w:r w:rsidRPr="00FD7173">
              <w:rPr>
                <w:rFonts w:ascii="Times New Roman" w:eastAsia="Times New Roman" w:hAnsi="Times New Roman" w:cs="Times New Roman"/>
                <w:lang w:eastAsia="ru-RU"/>
              </w:rPr>
              <w:t xml:space="preserve"> и Клиентом, Стороны обязаны руководствоваться действующим законодательством.</w:t>
            </w:r>
          </w:p>
          <w:p w:rsidR="00CB6E70" w:rsidRPr="00FD7173" w:rsidRDefault="00CB6E70" w:rsidP="00E23C3B">
            <w:pPr>
              <w:jc w:val="both"/>
              <w:rPr>
                <w:rFonts w:ascii="Times New Roman" w:eastAsia="Times New Roman" w:hAnsi="Times New Roman" w:cs="Times New Roman"/>
                <w:lang w:eastAsia="ru-RU"/>
              </w:rPr>
            </w:pPr>
            <w:r w:rsidRPr="00FD7173">
              <w:rPr>
                <w:rFonts w:ascii="Times New Roman" w:eastAsia="Times New Roman" w:hAnsi="Times New Roman" w:cs="Times New Roman"/>
                <w:lang w:eastAsia="ru-RU"/>
              </w:rPr>
              <w:t xml:space="preserve">Все спорные вопросы, возникающие между Сторонами, решаются путем переговоров. Срок рассмотрения претензий – </w:t>
            </w:r>
            <w:r w:rsidRPr="00FD7173">
              <w:rPr>
                <w:rFonts w:ascii="Times New Roman" w:eastAsia="Times New Roman" w:hAnsi="Times New Roman" w:cs="Times New Roman"/>
                <w:shd w:val="clear" w:color="auto" w:fill="FFFFFF" w:themeFill="background1"/>
                <w:lang w:eastAsia="ru-RU"/>
              </w:rPr>
              <w:t>10 дней</w:t>
            </w:r>
          </w:p>
          <w:p w:rsidR="00CB6E70" w:rsidRPr="000823DD" w:rsidRDefault="00CB6E70" w:rsidP="00E23C3B">
            <w:pPr>
              <w:jc w:val="both"/>
              <w:rPr>
                <w:rFonts w:ascii="Times New Roman" w:eastAsia="Times New Roman" w:hAnsi="Times New Roman" w:cs="Times New Roman"/>
                <w:sz w:val="20"/>
                <w:szCs w:val="20"/>
                <w:lang w:eastAsia="ru-RU"/>
              </w:rPr>
            </w:pPr>
            <w:r w:rsidRPr="00FD7173">
              <w:rPr>
                <w:rFonts w:ascii="Times New Roman" w:eastAsia="Times New Roman" w:hAnsi="Times New Roman" w:cs="Times New Roman"/>
                <w:lang w:eastAsia="ru-RU"/>
              </w:rPr>
              <w:t xml:space="preserve">В случае невозможности урегулирования спорных вопросов путем переговоров, предмет спора должен быть передан на рассмотрение в Арбитражный суд РТ, а в случае, если Клиент является физическим лицом – в суд общей юрисдикции по месту нахождения </w:t>
            </w:r>
            <w:r w:rsidR="00E23C3B">
              <w:rPr>
                <w:rFonts w:ascii="Times New Roman" w:eastAsia="Times New Roman" w:hAnsi="Times New Roman" w:cs="Times New Roman"/>
                <w:lang w:eastAsia="ru-RU"/>
              </w:rPr>
              <w:t>брокера</w:t>
            </w:r>
            <w:r w:rsidRPr="00FD7173">
              <w:rPr>
                <w:rFonts w:ascii="Times New Roman" w:eastAsia="Times New Roman" w:hAnsi="Times New Roman" w:cs="Times New Roman"/>
                <w:lang w:eastAsia="ru-RU"/>
              </w:rPr>
              <w:t>, для разрешения в соответствии с законодательством Российской Федерации.</w:t>
            </w:r>
            <w:r>
              <w:rPr>
                <w:rFonts w:ascii="Times New Roman" w:eastAsia="Times New Roman" w:hAnsi="Times New Roman" w:cs="Times New Roman"/>
                <w:lang w:eastAsia="ru-RU"/>
              </w:rPr>
              <w:t xml:space="preserve"> </w:t>
            </w:r>
          </w:p>
        </w:tc>
      </w:tr>
      <w:tr w:rsidR="00CB6E70" w:rsidRPr="008E34DA" w:rsidTr="00FD7173">
        <w:trPr>
          <w:trHeight w:val="1503"/>
        </w:trPr>
        <w:tc>
          <w:tcPr>
            <w:tcW w:w="495" w:type="dxa"/>
          </w:tcPr>
          <w:p w:rsidR="00CB6E70" w:rsidRPr="008E34DA" w:rsidRDefault="00CB6E70" w:rsidP="00CB6E70">
            <w:pPr>
              <w:contextualSpacing/>
              <w:jc w:val="center"/>
              <w:rPr>
                <w:rFonts w:ascii="Times New Roman" w:hAnsi="Times New Roman" w:cs="Times New Roman"/>
              </w:rPr>
            </w:pPr>
            <w:r w:rsidRPr="008E34DA">
              <w:rPr>
                <w:rFonts w:ascii="Times New Roman" w:hAnsi="Times New Roman" w:cs="Times New Roman"/>
              </w:rPr>
              <w:t>1</w:t>
            </w:r>
            <w:r>
              <w:rPr>
                <w:rFonts w:ascii="Times New Roman" w:hAnsi="Times New Roman" w:cs="Times New Roman"/>
              </w:rPr>
              <w:t>7</w:t>
            </w:r>
          </w:p>
        </w:tc>
        <w:tc>
          <w:tcPr>
            <w:tcW w:w="2410" w:type="dxa"/>
          </w:tcPr>
          <w:p w:rsidR="00CB6E70" w:rsidRPr="008E34DA" w:rsidRDefault="00CB6E70" w:rsidP="00CB6E70">
            <w:pPr>
              <w:contextualSpacing/>
              <w:rPr>
                <w:rFonts w:ascii="Times New Roman" w:hAnsi="Times New Roman" w:cs="Times New Roman"/>
              </w:rPr>
            </w:pPr>
            <w:r w:rsidRPr="008E34DA">
              <w:rPr>
                <w:rFonts w:ascii="Times New Roman" w:hAnsi="Times New Roman" w:cs="Times New Roman"/>
              </w:rPr>
              <w:t>Срок действия, порядо</w:t>
            </w:r>
            <w:r>
              <w:rPr>
                <w:rFonts w:ascii="Times New Roman" w:hAnsi="Times New Roman" w:cs="Times New Roman"/>
              </w:rPr>
              <w:t>к и сроки расторжения договора на брокерское обслуживание</w:t>
            </w:r>
          </w:p>
        </w:tc>
        <w:tc>
          <w:tcPr>
            <w:tcW w:w="8047" w:type="dxa"/>
          </w:tcPr>
          <w:p w:rsidR="00CB6E70" w:rsidRDefault="00CB6E70" w:rsidP="00E23C3B">
            <w:pPr>
              <w:contextualSpacing/>
              <w:jc w:val="both"/>
              <w:rPr>
                <w:rFonts w:ascii="Times New Roman" w:hAnsi="Times New Roman" w:cs="Times New Roman"/>
              </w:rPr>
            </w:pPr>
            <w:r>
              <w:rPr>
                <w:rFonts w:ascii="Times New Roman" w:hAnsi="Times New Roman" w:cs="Times New Roman"/>
              </w:rPr>
              <w:t>Срок действия договора на брокерское обслуживание: бессрочный.</w:t>
            </w:r>
          </w:p>
          <w:p w:rsidR="00CB6E70" w:rsidRDefault="00CB6E70" w:rsidP="00E23C3B">
            <w:pPr>
              <w:contextualSpacing/>
              <w:jc w:val="both"/>
              <w:rPr>
                <w:rFonts w:ascii="Times New Roman" w:hAnsi="Times New Roman" w:cs="Times New Roman"/>
              </w:rPr>
            </w:pPr>
            <w:r w:rsidRPr="00E66520">
              <w:rPr>
                <w:rFonts w:ascii="Times New Roman" w:hAnsi="Times New Roman" w:cs="Times New Roman"/>
              </w:rPr>
              <w:t>Порядок и сроки расторжения договора о брокерском обс</w:t>
            </w:r>
            <w:r>
              <w:rPr>
                <w:rFonts w:ascii="Times New Roman" w:hAnsi="Times New Roman" w:cs="Times New Roman"/>
              </w:rPr>
              <w:t>луживании установлены статьей 15</w:t>
            </w:r>
            <w:r w:rsidRPr="00E66520">
              <w:rPr>
                <w:rFonts w:ascii="Times New Roman" w:hAnsi="Times New Roman" w:cs="Times New Roman"/>
              </w:rPr>
              <w:t xml:space="preserve"> </w:t>
            </w:r>
            <w:r>
              <w:rPr>
                <w:rFonts w:ascii="Times New Roman" w:hAnsi="Times New Roman" w:cs="Times New Roman"/>
              </w:rPr>
              <w:t xml:space="preserve">Договора на </w:t>
            </w:r>
            <w:r w:rsidRPr="00E66520">
              <w:rPr>
                <w:rFonts w:ascii="Times New Roman" w:hAnsi="Times New Roman" w:cs="Times New Roman"/>
              </w:rPr>
              <w:t>брокерско</w:t>
            </w:r>
            <w:r>
              <w:rPr>
                <w:rFonts w:ascii="Times New Roman" w:hAnsi="Times New Roman" w:cs="Times New Roman"/>
              </w:rPr>
              <w:t>е</w:t>
            </w:r>
            <w:r w:rsidRPr="00E66520">
              <w:rPr>
                <w:rFonts w:ascii="Times New Roman" w:hAnsi="Times New Roman" w:cs="Times New Roman"/>
              </w:rPr>
              <w:t xml:space="preserve"> обсл</w:t>
            </w:r>
            <w:r>
              <w:rPr>
                <w:rFonts w:ascii="Times New Roman" w:hAnsi="Times New Roman" w:cs="Times New Roman"/>
              </w:rPr>
              <w:t>уживания ООО «ТАИФ-ИНВЕСТ»</w:t>
            </w:r>
            <w:r w:rsidRPr="00E66520">
              <w:rPr>
                <w:rFonts w:ascii="Times New Roman" w:hAnsi="Times New Roman" w:cs="Times New Roman"/>
              </w:rPr>
              <w:t xml:space="preserve"> (</w:t>
            </w:r>
            <w:r>
              <w:rPr>
                <w:rFonts w:ascii="Times New Roman" w:hAnsi="Times New Roman" w:cs="Times New Roman"/>
              </w:rPr>
              <w:t>Порядок действия договора</w:t>
            </w:r>
            <w:r w:rsidRPr="00E66520">
              <w:rPr>
                <w:rFonts w:ascii="Times New Roman" w:hAnsi="Times New Roman" w:cs="Times New Roman"/>
              </w:rPr>
              <w:t>).</w:t>
            </w:r>
          </w:p>
          <w:p w:rsidR="00CB6E70" w:rsidRPr="008E34DA" w:rsidRDefault="00CB6E70" w:rsidP="00E23C3B">
            <w:pPr>
              <w:contextualSpacing/>
              <w:jc w:val="both"/>
              <w:rPr>
                <w:rFonts w:ascii="Times New Roman" w:hAnsi="Times New Roman" w:cs="Times New Roman"/>
              </w:rPr>
            </w:pPr>
          </w:p>
        </w:tc>
      </w:tr>
    </w:tbl>
    <w:p w:rsidR="00460503" w:rsidRPr="00842532" w:rsidRDefault="00460503" w:rsidP="00FD7173">
      <w:pPr>
        <w:contextualSpacing/>
        <w:jc w:val="both"/>
        <w:rPr>
          <w:rFonts w:ascii="Times New Roman" w:hAnsi="Times New Roman" w:cs="Times New Roman"/>
          <w:sz w:val="24"/>
          <w:szCs w:val="24"/>
        </w:rPr>
      </w:pPr>
    </w:p>
    <w:sectPr w:rsidR="00460503" w:rsidRPr="00842532" w:rsidSect="00FD7173">
      <w:headerReference w:type="default" r:id="rId16"/>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882" w:rsidRDefault="00D30882" w:rsidP="00337302">
      <w:pPr>
        <w:spacing w:after="0" w:line="240" w:lineRule="auto"/>
      </w:pPr>
      <w:r>
        <w:separator/>
      </w:r>
    </w:p>
  </w:endnote>
  <w:endnote w:type="continuationSeparator" w:id="0">
    <w:p w:rsidR="00D30882" w:rsidRDefault="00D30882" w:rsidP="00337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882" w:rsidRDefault="00D30882" w:rsidP="00337302">
      <w:pPr>
        <w:spacing w:after="0" w:line="240" w:lineRule="auto"/>
      </w:pPr>
      <w:r>
        <w:separator/>
      </w:r>
    </w:p>
  </w:footnote>
  <w:footnote w:type="continuationSeparator" w:id="0">
    <w:p w:rsidR="00D30882" w:rsidRDefault="00D30882" w:rsidP="00337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6289"/>
      <w:docPartObj>
        <w:docPartGallery w:val="Page Numbers (Top of Page)"/>
        <w:docPartUnique/>
      </w:docPartObj>
    </w:sdtPr>
    <w:sdtEndPr>
      <w:rPr>
        <w:rFonts w:ascii="Times New Roman" w:hAnsi="Times New Roman" w:cs="Times New Roman"/>
      </w:rPr>
    </w:sdtEndPr>
    <w:sdtContent>
      <w:p w:rsidR="00F62BF2" w:rsidRPr="00E23C3B" w:rsidRDefault="0090486B">
        <w:pPr>
          <w:pStyle w:val="a6"/>
          <w:jc w:val="center"/>
          <w:rPr>
            <w:rFonts w:ascii="Times New Roman" w:hAnsi="Times New Roman" w:cs="Times New Roman"/>
          </w:rPr>
        </w:pPr>
        <w:r w:rsidRPr="00E23C3B">
          <w:rPr>
            <w:rFonts w:ascii="Times New Roman" w:hAnsi="Times New Roman" w:cs="Times New Roman"/>
          </w:rPr>
          <w:fldChar w:fldCharType="begin"/>
        </w:r>
        <w:r w:rsidRPr="00E23C3B">
          <w:rPr>
            <w:rFonts w:ascii="Times New Roman" w:hAnsi="Times New Roman" w:cs="Times New Roman"/>
          </w:rPr>
          <w:instrText xml:space="preserve"> PAGE   \* MERGEFORMAT </w:instrText>
        </w:r>
        <w:r w:rsidRPr="00E23C3B">
          <w:rPr>
            <w:rFonts w:ascii="Times New Roman" w:hAnsi="Times New Roman" w:cs="Times New Roman"/>
          </w:rPr>
          <w:fldChar w:fldCharType="separate"/>
        </w:r>
        <w:r w:rsidR="00E23C3B">
          <w:rPr>
            <w:rFonts w:ascii="Times New Roman" w:hAnsi="Times New Roman" w:cs="Times New Roman"/>
            <w:noProof/>
          </w:rPr>
          <w:t>3</w:t>
        </w:r>
        <w:r w:rsidRPr="00E23C3B">
          <w:rPr>
            <w:rFonts w:ascii="Times New Roman" w:hAnsi="Times New Roman" w:cs="Times New Roman"/>
            <w:noProof/>
          </w:rPr>
          <w:fldChar w:fldCharType="end"/>
        </w:r>
      </w:p>
    </w:sdtContent>
  </w:sdt>
  <w:p w:rsidR="00F62BF2" w:rsidRDefault="00F62BF2">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50F97"/>
    <w:multiLevelType w:val="hybridMultilevel"/>
    <w:tmpl w:val="8DB865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7089045F"/>
    <w:multiLevelType w:val="hybridMultilevel"/>
    <w:tmpl w:val="A3ACA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40E"/>
    <w:rsid w:val="00000A50"/>
    <w:rsid w:val="00003536"/>
    <w:rsid w:val="000075E7"/>
    <w:rsid w:val="00007971"/>
    <w:rsid w:val="00011B0A"/>
    <w:rsid w:val="000144DB"/>
    <w:rsid w:val="00014F8A"/>
    <w:rsid w:val="00023EAF"/>
    <w:rsid w:val="00034A45"/>
    <w:rsid w:val="000404E0"/>
    <w:rsid w:val="00041841"/>
    <w:rsid w:val="00041A5C"/>
    <w:rsid w:val="0005093A"/>
    <w:rsid w:val="00061008"/>
    <w:rsid w:val="0006176C"/>
    <w:rsid w:val="000667FB"/>
    <w:rsid w:val="00066BAD"/>
    <w:rsid w:val="00070055"/>
    <w:rsid w:val="000743C3"/>
    <w:rsid w:val="000823DD"/>
    <w:rsid w:val="000856DE"/>
    <w:rsid w:val="000867B2"/>
    <w:rsid w:val="00087C2E"/>
    <w:rsid w:val="0009126B"/>
    <w:rsid w:val="00093362"/>
    <w:rsid w:val="00094B92"/>
    <w:rsid w:val="000A2D39"/>
    <w:rsid w:val="000A3824"/>
    <w:rsid w:val="000A41E8"/>
    <w:rsid w:val="000A49BC"/>
    <w:rsid w:val="000A4C0C"/>
    <w:rsid w:val="000A6625"/>
    <w:rsid w:val="000A6BB0"/>
    <w:rsid w:val="000B073C"/>
    <w:rsid w:val="000B1B54"/>
    <w:rsid w:val="000C07C1"/>
    <w:rsid w:val="000C17EB"/>
    <w:rsid w:val="000C3B06"/>
    <w:rsid w:val="000C6001"/>
    <w:rsid w:val="000D29CD"/>
    <w:rsid w:val="000D2E10"/>
    <w:rsid w:val="000D4641"/>
    <w:rsid w:val="000E2202"/>
    <w:rsid w:val="000E22E2"/>
    <w:rsid w:val="000E4987"/>
    <w:rsid w:val="000F1780"/>
    <w:rsid w:val="000F23D3"/>
    <w:rsid w:val="000F33F5"/>
    <w:rsid w:val="000F5AAE"/>
    <w:rsid w:val="0010015A"/>
    <w:rsid w:val="0010223E"/>
    <w:rsid w:val="001053A6"/>
    <w:rsid w:val="00105DE4"/>
    <w:rsid w:val="00105E21"/>
    <w:rsid w:val="00107ACB"/>
    <w:rsid w:val="00110919"/>
    <w:rsid w:val="00113192"/>
    <w:rsid w:val="00113F51"/>
    <w:rsid w:val="001147D6"/>
    <w:rsid w:val="001174BB"/>
    <w:rsid w:val="0013199A"/>
    <w:rsid w:val="00134CEE"/>
    <w:rsid w:val="001375B9"/>
    <w:rsid w:val="00143A70"/>
    <w:rsid w:val="001538EE"/>
    <w:rsid w:val="00153B98"/>
    <w:rsid w:val="00181F31"/>
    <w:rsid w:val="00191CC1"/>
    <w:rsid w:val="00194878"/>
    <w:rsid w:val="001A12FA"/>
    <w:rsid w:val="001A20F5"/>
    <w:rsid w:val="001A6BD1"/>
    <w:rsid w:val="001B0E51"/>
    <w:rsid w:val="001B543D"/>
    <w:rsid w:val="001C2A3E"/>
    <w:rsid w:val="001E6B1E"/>
    <w:rsid w:val="001F304C"/>
    <w:rsid w:val="00200E5B"/>
    <w:rsid w:val="0020403F"/>
    <w:rsid w:val="0020573A"/>
    <w:rsid w:val="00211856"/>
    <w:rsid w:val="00212D12"/>
    <w:rsid w:val="00215740"/>
    <w:rsid w:val="00226452"/>
    <w:rsid w:val="0022678A"/>
    <w:rsid w:val="002302F8"/>
    <w:rsid w:val="00231F9D"/>
    <w:rsid w:val="002346FE"/>
    <w:rsid w:val="002404C0"/>
    <w:rsid w:val="002441C9"/>
    <w:rsid w:val="00246561"/>
    <w:rsid w:val="002604B6"/>
    <w:rsid w:val="00264089"/>
    <w:rsid w:val="0026723F"/>
    <w:rsid w:val="002706DC"/>
    <w:rsid w:val="00270916"/>
    <w:rsid w:val="00271A15"/>
    <w:rsid w:val="00273894"/>
    <w:rsid w:val="00276334"/>
    <w:rsid w:val="00276B9D"/>
    <w:rsid w:val="00284A23"/>
    <w:rsid w:val="00294166"/>
    <w:rsid w:val="00297487"/>
    <w:rsid w:val="002A0A2F"/>
    <w:rsid w:val="002A1DC7"/>
    <w:rsid w:val="002A2266"/>
    <w:rsid w:val="002A2B6E"/>
    <w:rsid w:val="002A337F"/>
    <w:rsid w:val="002B77FC"/>
    <w:rsid w:val="002C24A3"/>
    <w:rsid w:val="002D431B"/>
    <w:rsid w:val="002D7FDC"/>
    <w:rsid w:val="002E3B82"/>
    <w:rsid w:val="002E5D3D"/>
    <w:rsid w:val="002F13C3"/>
    <w:rsid w:val="002F43D1"/>
    <w:rsid w:val="0030018F"/>
    <w:rsid w:val="003103FD"/>
    <w:rsid w:val="00317E85"/>
    <w:rsid w:val="0032399E"/>
    <w:rsid w:val="003264FA"/>
    <w:rsid w:val="00327E8C"/>
    <w:rsid w:val="003321E4"/>
    <w:rsid w:val="00332210"/>
    <w:rsid w:val="00337302"/>
    <w:rsid w:val="0035417E"/>
    <w:rsid w:val="00354885"/>
    <w:rsid w:val="00354AC6"/>
    <w:rsid w:val="00354AF7"/>
    <w:rsid w:val="0035783C"/>
    <w:rsid w:val="00370CD6"/>
    <w:rsid w:val="00371895"/>
    <w:rsid w:val="00372014"/>
    <w:rsid w:val="00385CB3"/>
    <w:rsid w:val="003928CD"/>
    <w:rsid w:val="00397012"/>
    <w:rsid w:val="003A0E3A"/>
    <w:rsid w:val="003A140C"/>
    <w:rsid w:val="003B15DC"/>
    <w:rsid w:val="003C4E64"/>
    <w:rsid w:val="003C74F7"/>
    <w:rsid w:val="003D32FC"/>
    <w:rsid w:val="003E0203"/>
    <w:rsid w:val="003E3ED0"/>
    <w:rsid w:val="003F02F9"/>
    <w:rsid w:val="004004D7"/>
    <w:rsid w:val="00403FCA"/>
    <w:rsid w:val="00404824"/>
    <w:rsid w:val="004108C9"/>
    <w:rsid w:val="0041142C"/>
    <w:rsid w:val="004174E7"/>
    <w:rsid w:val="00420A63"/>
    <w:rsid w:val="00423DDE"/>
    <w:rsid w:val="00430047"/>
    <w:rsid w:val="00434174"/>
    <w:rsid w:val="00444315"/>
    <w:rsid w:val="00451C1D"/>
    <w:rsid w:val="00454A75"/>
    <w:rsid w:val="00460503"/>
    <w:rsid w:val="00461929"/>
    <w:rsid w:val="00463148"/>
    <w:rsid w:val="00465D12"/>
    <w:rsid w:val="0047042E"/>
    <w:rsid w:val="004755D6"/>
    <w:rsid w:val="00480F83"/>
    <w:rsid w:val="00483913"/>
    <w:rsid w:val="004875BF"/>
    <w:rsid w:val="00487AC2"/>
    <w:rsid w:val="0049448F"/>
    <w:rsid w:val="004A0D7E"/>
    <w:rsid w:val="004C73DC"/>
    <w:rsid w:val="004D0FCD"/>
    <w:rsid w:val="004D266A"/>
    <w:rsid w:val="004E231D"/>
    <w:rsid w:val="004E2934"/>
    <w:rsid w:val="004E2A94"/>
    <w:rsid w:val="004E3808"/>
    <w:rsid w:val="004E40DD"/>
    <w:rsid w:val="004F1765"/>
    <w:rsid w:val="004F2876"/>
    <w:rsid w:val="004F7897"/>
    <w:rsid w:val="00501202"/>
    <w:rsid w:val="00505F7E"/>
    <w:rsid w:val="0051241F"/>
    <w:rsid w:val="0051270A"/>
    <w:rsid w:val="00523585"/>
    <w:rsid w:val="00523D30"/>
    <w:rsid w:val="00525BD8"/>
    <w:rsid w:val="0053129F"/>
    <w:rsid w:val="005468E7"/>
    <w:rsid w:val="00552E01"/>
    <w:rsid w:val="005559BE"/>
    <w:rsid w:val="00561640"/>
    <w:rsid w:val="00565D9C"/>
    <w:rsid w:val="00581E13"/>
    <w:rsid w:val="00584ED0"/>
    <w:rsid w:val="005863FF"/>
    <w:rsid w:val="00590F1E"/>
    <w:rsid w:val="00594215"/>
    <w:rsid w:val="005951C5"/>
    <w:rsid w:val="00597127"/>
    <w:rsid w:val="005A2499"/>
    <w:rsid w:val="005A3724"/>
    <w:rsid w:val="005A520A"/>
    <w:rsid w:val="005A66D4"/>
    <w:rsid w:val="005A6E06"/>
    <w:rsid w:val="005B7059"/>
    <w:rsid w:val="005C4BC2"/>
    <w:rsid w:val="005C5490"/>
    <w:rsid w:val="005D3585"/>
    <w:rsid w:val="005E7C56"/>
    <w:rsid w:val="005F17F8"/>
    <w:rsid w:val="005F22EE"/>
    <w:rsid w:val="005F58DD"/>
    <w:rsid w:val="00626C27"/>
    <w:rsid w:val="00630DA7"/>
    <w:rsid w:val="006314D2"/>
    <w:rsid w:val="0063356D"/>
    <w:rsid w:val="006565C8"/>
    <w:rsid w:val="00661894"/>
    <w:rsid w:val="00666A01"/>
    <w:rsid w:val="006743F8"/>
    <w:rsid w:val="00682C57"/>
    <w:rsid w:val="00684522"/>
    <w:rsid w:val="00692B43"/>
    <w:rsid w:val="00694063"/>
    <w:rsid w:val="00694D72"/>
    <w:rsid w:val="006A2B65"/>
    <w:rsid w:val="006A59D2"/>
    <w:rsid w:val="006B0B02"/>
    <w:rsid w:val="006B4369"/>
    <w:rsid w:val="006C14FE"/>
    <w:rsid w:val="006C2953"/>
    <w:rsid w:val="006C4F94"/>
    <w:rsid w:val="006C5070"/>
    <w:rsid w:val="006D2990"/>
    <w:rsid w:val="006D4AAD"/>
    <w:rsid w:val="006D74D8"/>
    <w:rsid w:val="006E1296"/>
    <w:rsid w:val="006E62CD"/>
    <w:rsid w:val="006F5F89"/>
    <w:rsid w:val="006F63E9"/>
    <w:rsid w:val="00704384"/>
    <w:rsid w:val="00704E98"/>
    <w:rsid w:val="00705466"/>
    <w:rsid w:val="00716731"/>
    <w:rsid w:val="00723BB6"/>
    <w:rsid w:val="00730937"/>
    <w:rsid w:val="007344D3"/>
    <w:rsid w:val="0073704A"/>
    <w:rsid w:val="00740875"/>
    <w:rsid w:val="00743871"/>
    <w:rsid w:val="007504B0"/>
    <w:rsid w:val="00750566"/>
    <w:rsid w:val="00757B04"/>
    <w:rsid w:val="00761A69"/>
    <w:rsid w:val="00761D5F"/>
    <w:rsid w:val="007647A8"/>
    <w:rsid w:val="00765A2E"/>
    <w:rsid w:val="007804C5"/>
    <w:rsid w:val="00781575"/>
    <w:rsid w:val="007829D1"/>
    <w:rsid w:val="0079086D"/>
    <w:rsid w:val="00790EDE"/>
    <w:rsid w:val="00797ADD"/>
    <w:rsid w:val="007A365F"/>
    <w:rsid w:val="007C1B8F"/>
    <w:rsid w:val="007E2C41"/>
    <w:rsid w:val="007E5677"/>
    <w:rsid w:val="007F54A5"/>
    <w:rsid w:val="007F61EC"/>
    <w:rsid w:val="00805956"/>
    <w:rsid w:val="00806517"/>
    <w:rsid w:val="00814456"/>
    <w:rsid w:val="00814A5A"/>
    <w:rsid w:val="00814FC1"/>
    <w:rsid w:val="00815BF4"/>
    <w:rsid w:val="0081635C"/>
    <w:rsid w:val="008168C9"/>
    <w:rsid w:val="008225A2"/>
    <w:rsid w:val="00826812"/>
    <w:rsid w:val="00831F6B"/>
    <w:rsid w:val="00842532"/>
    <w:rsid w:val="00845777"/>
    <w:rsid w:val="008458A7"/>
    <w:rsid w:val="008579D0"/>
    <w:rsid w:val="00861461"/>
    <w:rsid w:val="008751A5"/>
    <w:rsid w:val="008771C7"/>
    <w:rsid w:val="00883C82"/>
    <w:rsid w:val="00886F1F"/>
    <w:rsid w:val="0089142B"/>
    <w:rsid w:val="008945B9"/>
    <w:rsid w:val="008A1A1D"/>
    <w:rsid w:val="008A1D4A"/>
    <w:rsid w:val="008A516C"/>
    <w:rsid w:val="008A7A5A"/>
    <w:rsid w:val="008B634A"/>
    <w:rsid w:val="008B7CB7"/>
    <w:rsid w:val="008C0EB6"/>
    <w:rsid w:val="008C2C4F"/>
    <w:rsid w:val="008D1A0D"/>
    <w:rsid w:val="008D464A"/>
    <w:rsid w:val="008D6BD9"/>
    <w:rsid w:val="008E331C"/>
    <w:rsid w:val="008E34DA"/>
    <w:rsid w:val="008E7B93"/>
    <w:rsid w:val="008E7C7B"/>
    <w:rsid w:val="008F3560"/>
    <w:rsid w:val="008F5288"/>
    <w:rsid w:val="008F63BE"/>
    <w:rsid w:val="009046D7"/>
    <w:rsid w:val="0090486B"/>
    <w:rsid w:val="009077BA"/>
    <w:rsid w:val="00911EA4"/>
    <w:rsid w:val="00912FF9"/>
    <w:rsid w:val="009151F9"/>
    <w:rsid w:val="00915C35"/>
    <w:rsid w:val="00920125"/>
    <w:rsid w:val="00927534"/>
    <w:rsid w:val="00931A49"/>
    <w:rsid w:val="0094132A"/>
    <w:rsid w:val="00942C2A"/>
    <w:rsid w:val="0094406C"/>
    <w:rsid w:val="00950511"/>
    <w:rsid w:val="00957797"/>
    <w:rsid w:val="009674DA"/>
    <w:rsid w:val="00971FB4"/>
    <w:rsid w:val="00974605"/>
    <w:rsid w:val="009769C0"/>
    <w:rsid w:val="0098429A"/>
    <w:rsid w:val="009A7DC6"/>
    <w:rsid w:val="009B5112"/>
    <w:rsid w:val="009B5CDE"/>
    <w:rsid w:val="009B6D36"/>
    <w:rsid w:val="009C27E9"/>
    <w:rsid w:val="009C5E85"/>
    <w:rsid w:val="009D1E89"/>
    <w:rsid w:val="009E3C9D"/>
    <w:rsid w:val="009E56C3"/>
    <w:rsid w:val="009F6F64"/>
    <w:rsid w:val="009F7D4F"/>
    <w:rsid w:val="00A0186B"/>
    <w:rsid w:val="00A05A33"/>
    <w:rsid w:val="00A12C63"/>
    <w:rsid w:val="00A15325"/>
    <w:rsid w:val="00A1620E"/>
    <w:rsid w:val="00A20C80"/>
    <w:rsid w:val="00A212CD"/>
    <w:rsid w:val="00A30E9E"/>
    <w:rsid w:val="00A405B9"/>
    <w:rsid w:val="00A562CE"/>
    <w:rsid w:val="00A66D22"/>
    <w:rsid w:val="00A76B57"/>
    <w:rsid w:val="00A80444"/>
    <w:rsid w:val="00A815BF"/>
    <w:rsid w:val="00A825B0"/>
    <w:rsid w:val="00A87799"/>
    <w:rsid w:val="00A90214"/>
    <w:rsid w:val="00A91B78"/>
    <w:rsid w:val="00A95A47"/>
    <w:rsid w:val="00A95D31"/>
    <w:rsid w:val="00AA3CA2"/>
    <w:rsid w:val="00AA442C"/>
    <w:rsid w:val="00AA4BD9"/>
    <w:rsid w:val="00AA79CB"/>
    <w:rsid w:val="00AB0039"/>
    <w:rsid w:val="00AB0AAA"/>
    <w:rsid w:val="00AB737F"/>
    <w:rsid w:val="00AC1AB6"/>
    <w:rsid w:val="00AC1C50"/>
    <w:rsid w:val="00AD0A92"/>
    <w:rsid w:val="00AD1F4F"/>
    <w:rsid w:val="00AD28D7"/>
    <w:rsid w:val="00AD6BD2"/>
    <w:rsid w:val="00AE35E5"/>
    <w:rsid w:val="00AF1203"/>
    <w:rsid w:val="00AF237B"/>
    <w:rsid w:val="00B02160"/>
    <w:rsid w:val="00B0288F"/>
    <w:rsid w:val="00B12EF6"/>
    <w:rsid w:val="00B205C6"/>
    <w:rsid w:val="00B52FF9"/>
    <w:rsid w:val="00B5318C"/>
    <w:rsid w:val="00B705B7"/>
    <w:rsid w:val="00B73E22"/>
    <w:rsid w:val="00B773B3"/>
    <w:rsid w:val="00B9276F"/>
    <w:rsid w:val="00B930B7"/>
    <w:rsid w:val="00B943F0"/>
    <w:rsid w:val="00BA018D"/>
    <w:rsid w:val="00BA07DF"/>
    <w:rsid w:val="00BB2805"/>
    <w:rsid w:val="00BB7684"/>
    <w:rsid w:val="00BC35B3"/>
    <w:rsid w:val="00BC3E85"/>
    <w:rsid w:val="00BC4DE9"/>
    <w:rsid w:val="00BC5BC1"/>
    <w:rsid w:val="00BD20AA"/>
    <w:rsid w:val="00BD5EC0"/>
    <w:rsid w:val="00BE6DC3"/>
    <w:rsid w:val="00BF2B40"/>
    <w:rsid w:val="00BF39B9"/>
    <w:rsid w:val="00BF56B1"/>
    <w:rsid w:val="00C11837"/>
    <w:rsid w:val="00C133A1"/>
    <w:rsid w:val="00C13D82"/>
    <w:rsid w:val="00C27E6B"/>
    <w:rsid w:val="00C3010B"/>
    <w:rsid w:val="00C34898"/>
    <w:rsid w:val="00C36251"/>
    <w:rsid w:val="00C36D74"/>
    <w:rsid w:val="00C3737C"/>
    <w:rsid w:val="00C46BFB"/>
    <w:rsid w:val="00C56DC4"/>
    <w:rsid w:val="00C57002"/>
    <w:rsid w:val="00C82F63"/>
    <w:rsid w:val="00C85B99"/>
    <w:rsid w:val="00CA5094"/>
    <w:rsid w:val="00CB1FA7"/>
    <w:rsid w:val="00CB51AE"/>
    <w:rsid w:val="00CB525B"/>
    <w:rsid w:val="00CB570D"/>
    <w:rsid w:val="00CB6E70"/>
    <w:rsid w:val="00CC0379"/>
    <w:rsid w:val="00CC4156"/>
    <w:rsid w:val="00CC4354"/>
    <w:rsid w:val="00CD4F53"/>
    <w:rsid w:val="00CE082D"/>
    <w:rsid w:val="00CE1441"/>
    <w:rsid w:val="00CE251A"/>
    <w:rsid w:val="00CF11DB"/>
    <w:rsid w:val="00D01F4D"/>
    <w:rsid w:val="00D06265"/>
    <w:rsid w:val="00D30882"/>
    <w:rsid w:val="00D55B77"/>
    <w:rsid w:val="00D60DAB"/>
    <w:rsid w:val="00D65C89"/>
    <w:rsid w:val="00D663EE"/>
    <w:rsid w:val="00D71647"/>
    <w:rsid w:val="00D72AEE"/>
    <w:rsid w:val="00D77DA0"/>
    <w:rsid w:val="00D85A7D"/>
    <w:rsid w:val="00D91EC1"/>
    <w:rsid w:val="00DA5A09"/>
    <w:rsid w:val="00DA60C9"/>
    <w:rsid w:val="00DA74A3"/>
    <w:rsid w:val="00DA7A27"/>
    <w:rsid w:val="00DC4B38"/>
    <w:rsid w:val="00DC714F"/>
    <w:rsid w:val="00DD2056"/>
    <w:rsid w:val="00DD237C"/>
    <w:rsid w:val="00DD5BF5"/>
    <w:rsid w:val="00DE092C"/>
    <w:rsid w:val="00DF1445"/>
    <w:rsid w:val="00DF1906"/>
    <w:rsid w:val="00E00661"/>
    <w:rsid w:val="00E0118C"/>
    <w:rsid w:val="00E12170"/>
    <w:rsid w:val="00E17BA3"/>
    <w:rsid w:val="00E17EAB"/>
    <w:rsid w:val="00E2289C"/>
    <w:rsid w:val="00E23C3B"/>
    <w:rsid w:val="00E32A5C"/>
    <w:rsid w:val="00E32AE6"/>
    <w:rsid w:val="00E333C5"/>
    <w:rsid w:val="00E37B26"/>
    <w:rsid w:val="00E45E39"/>
    <w:rsid w:val="00E52086"/>
    <w:rsid w:val="00E54856"/>
    <w:rsid w:val="00E55D90"/>
    <w:rsid w:val="00E562D2"/>
    <w:rsid w:val="00E610D6"/>
    <w:rsid w:val="00E66520"/>
    <w:rsid w:val="00E67F84"/>
    <w:rsid w:val="00E731D9"/>
    <w:rsid w:val="00E73E70"/>
    <w:rsid w:val="00E85AD1"/>
    <w:rsid w:val="00E86D35"/>
    <w:rsid w:val="00EA3FBA"/>
    <w:rsid w:val="00EA6B53"/>
    <w:rsid w:val="00EB023C"/>
    <w:rsid w:val="00EB4260"/>
    <w:rsid w:val="00EC41B7"/>
    <w:rsid w:val="00EE56A6"/>
    <w:rsid w:val="00EE788C"/>
    <w:rsid w:val="00EF0D2D"/>
    <w:rsid w:val="00EF28FB"/>
    <w:rsid w:val="00EF52E1"/>
    <w:rsid w:val="00EF5A1C"/>
    <w:rsid w:val="00F00462"/>
    <w:rsid w:val="00F00F01"/>
    <w:rsid w:val="00F048E7"/>
    <w:rsid w:val="00F06462"/>
    <w:rsid w:val="00F156B0"/>
    <w:rsid w:val="00F401A5"/>
    <w:rsid w:val="00F422C4"/>
    <w:rsid w:val="00F47E85"/>
    <w:rsid w:val="00F513F3"/>
    <w:rsid w:val="00F528DB"/>
    <w:rsid w:val="00F61B06"/>
    <w:rsid w:val="00F62BF2"/>
    <w:rsid w:val="00F6354A"/>
    <w:rsid w:val="00F667C1"/>
    <w:rsid w:val="00F677BB"/>
    <w:rsid w:val="00F70036"/>
    <w:rsid w:val="00F71D07"/>
    <w:rsid w:val="00F77C8B"/>
    <w:rsid w:val="00F92318"/>
    <w:rsid w:val="00F93E6B"/>
    <w:rsid w:val="00FB4869"/>
    <w:rsid w:val="00FB67B7"/>
    <w:rsid w:val="00FB7AE1"/>
    <w:rsid w:val="00FC68C7"/>
    <w:rsid w:val="00FD0738"/>
    <w:rsid w:val="00FD65EB"/>
    <w:rsid w:val="00FD6874"/>
    <w:rsid w:val="00FD6A50"/>
    <w:rsid w:val="00FD7173"/>
    <w:rsid w:val="00FE2F67"/>
    <w:rsid w:val="00FE4F2B"/>
    <w:rsid w:val="00FE740E"/>
    <w:rsid w:val="00FF3434"/>
    <w:rsid w:val="00FF484E"/>
    <w:rsid w:val="00FF6E3D"/>
    <w:rsid w:val="00FF7148"/>
    <w:rsid w:val="00FF76F5"/>
    <w:rsid w:val="00FF7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58B1A1"/>
  <w15:docId w15:val="{0F9F4795-A5E6-4429-8B56-3E21687A4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6B1"/>
  </w:style>
  <w:style w:type="paragraph" w:styleId="1">
    <w:name w:val="heading 1"/>
    <w:basedOn w:val="a"/>
    <w:next w:val="a"/>
    <w:link w:val="10"/>
    <w:uiPriority w:val="9"/>
    <w:qFormat/>
    <w:rsid w:val="003C74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337302"/>
    <w:pPr>
      <w:spacing w:after="0" w:line="240" w:lineRule="auto"/>
    </w:pPr>
    <w:rPr>
      <w:sz w:val="20"/>
      <w:szCs w:val="20"/>
    </w:rPr>
  </w:style>
  <w:style w:type="character" w:customStyle="1" w:styleId="a4">
    <w:name w:val="Текст сноски Знак"/>
    <w:basedOn w:val="a0"/>
    <w:link w:val="a3"/>
    <w:uiPriority w:val="99"/>
    <w:rsid w:val="00337302"/>
    <w:rPr>
      <w:sz w:val="20"/>
      <w:szCs w:val="20"/>
    </w:rPr>
  </w:style>
  <w:style w:type="character" w:styleId="a5">
    <w:name w:val="footnote reference"/>
    <w:basedOn w:val="a0"/>
    <w:uiPriority w:val="99"/>
    <w:semiHidden/>
    <w:unhideWhenUsed/>
    <w:rsid w:val="00337302"/>
    <w:rPr>
      <w:vertAlign w:val="superscript"/>
    </w:rPr>
  </w:style>
  <w:style w:type="character" w:customStyle="1" w:styleId="fontstyle01">
    <w:name w:val="fontstyle01"/>
    <w:basedOn w:val="a0"/>
    <w:rsid w:val="00A05A33"/>
    <w:rPr>
      <w:rFonts w:ascii="TimesNewRomanPSMT" w:hAnsi="TimesNewRomanPSMT" w:hint="default"/>
      <w:b w:val="0"/>
      <w:bCs w:val="0"/>
      <w:i w:val="0"/>
      <w:iCs w:val="0"/>
      <w:color w:val="000000"/>
      <w:sz w:val="28"/>
      <w:szCs w:val="28"/>
    </w:rPr>
  </w:style>
  <w:style w:type="paragraph" w:styleId="a6">
    <w:name w:val="header"/>
    <w:basedOn w:val="a"/>
    <w:link w:val="a7"/>
    <w:uiPriority w:val="99"/>
    <w:unhideWhenUsed/>
    <w:rsid w:val="00F422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422C4"/>
  </w:style>
  <w:style w:type="paragraph" w:styleId="a8">
    <w:name w:val="footer"/>
    <w:basedOn w:val="a"/>
    <w:link w:val="a9"/>
    <w:uiPriority w:val="99"/>
    <w:unhideWhenUsed/>
    <w:rsid w:val="00F422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422C4"/>
  </w:style>
  <w:style w:type="character" w:customStyle="1" w:styleId="10">
    <w:name w:val="Заголовок 1 Знак"/>
    <w:basedOn w:val="a0"/>
    <w:link w:val="1"/>
    <w:uiPriority w:val="9"/>
    <w:rsid w:val="003C74F7"/>
    <w:rPr>
      <w:rFonts w:asciiTheme="majorHAnsi" w:eastAsiaTheme="majorEastAsia" w:hAnsiTheme="majorHAnsi" w:cstheme="majorBidi"/>
      <w:b/>
      <w:bCs/>
      <w:color w:val="365F91" w:themeColor="accent1" w:themeShade="BF"/>
      <w:sz w:val="28"/>
      <w:szCs w:val="28"/>
    </w:rPr>
  </w:style>
  <w:style w:type="paragraph" w:styleId="aa">
    <w:name w:val="Title"/>
    <w:basedOn w:val="a"/>
    <w:next w:val="a"/>
    <w:link w:val="ab"/>
    <w:uiPriority w:val="10"/>
    <w:qFormat/>
    <w:rsid w:val="003C74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0"/>
    <w:link w:val="aa"/>
    <w:uiPriority w:val="10"/>
    <w:rsid w:val="003C74F7"/>
    <w:rPr>
      <w:rFonts w:asciiTheme="majorHAnsi" w:eastAsiaTheme="majorEastAsia" w:hAnsiTheme="majorHAnsi" w:cstheme="majorBidi"/>
      <w:color w:val="17365D" w:themeColor="text2" w:themeShade="BF"/>
      <w:spacing w:val="5"/>
      <w:kern w:val="28"/>
      <w:sz w:val="52"/>
      <w:szCs w:val="52"/>
    </w:rPr>
  </w:style>
  <w:style w:type="paragraph" w:styleId="ac">
    <w:name w:val="Body Text"/>
    <w:basedOn w:val="a"/>
    <w:link w:val="ad"/>
    <w:uiPriority w:val="99"/>
    <w:unhideWhenUsed/>
    <w:rsid w:val="003C74F7"/>
    <w:pPr>
      <w:spacing w:after="120"/>
    </w:pPr>
  </w:style>
  <w:style w:type="character" w:customStyle="1" w:styleId="ad">
    <w:name w:val="Основной текст Знак"/>
    <w:basedOn w:val="a0"/>
    <w:link w:val="ac"/>
    <w:uiPriority w:val="99"/>
    <w:rsid w:val="003C74F7"/>
  </w:style>
  <w:style w:type="paragraph" w:styleId="ae">
    <w:name w:val="Body Text Indent"/>
    <w:basedOn w:val="a"/>
    <w:link w:val="af"/>
    <w:uiPriority w:val="99"/>
    <w:unhideWhenUsed/>
    <w:rsid w:val="003C74F7"/>
    <w:pPr>
      <w:spacing w:after="120"/>
      <w:ind w:left="283"/>
    </w:pPr>
  </w:style>
  <w:style w:type="character" w:customStyle="1" w:styleId="af">
    <w:name w:val="Основной текст с отступом Знак"/>
    <w:basedOn w:val="a0"/>
    <w:link w:val="ae"/>
    <w:uiPriority w:val="99"/>
    <w:rsid w:val="003C74F7"/>
  </w:style>
  <w:style w:type="paragraph" w:styleId="af0">
    <w:name w:val="Body Text First Indent"/>
    <w:basedOn w:val="ac"/>
    <w:link w:val="af1"/>
    <w:uiPriority w:val="99"/>
    <w:unhideWhenUsed/>
    <w:rsid w:val="003C74F7"/>
    <w:pPr>
      <w:spacing w:after="200"/>
      <w:ind w:firstLine="360"/>
    </w:pPr>
  </w:style>
  <w:style w:type="character" w:customStyle="1" w:styleId="af1">
    <w:name w:val="Красная строка Знак"/>
    <w:basedOn w:val="ad"/>
    <w:link w:val="af0"/>
    <w:uiPriority w:val="99"/>
    <w:rsid w:val="003C74F7"/>
  </w:style>
  <w:style w:type="paragraph" w:styleId="af2">
    <w:name w:val="Balloon Text"/>
    <w:basedOn w:val="a"/>
    <w:link w:val="af3"/>
    <w:uiPriority w:val="99"/>
    <w:semiHidden/>
    <w:unhideWhenUsed/>
    <w:rsid w:val="00E45E39"/>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E45E39"/>
    <w:rPr>
      <w:rFonts w:ascii="Segoe UI" w:hAnsi="Segoe UI" w:cs="Segoe UI"/>
      <w:sz w:val="18"/>
      <w:szCs w:val="18"/>
    </w:rPr>
  </w:style>
  <w:style w:type="table" w:styleId="af4">
    <w:name w:val="Table Grid"/>
    <w:basedOn w:val="a1"/>
    <w:uiPriority w:val="59"/>
    <w:rsid w:val="00BF2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endnote text"/>
    <w:basedOn w:val="a"/>
    <w:link w:val="af6"/>
    <w:uiPriority w:val="99"/>
    <w:semiHidden/>
    <w:unhideWhenUsed/>
    <w:rsid w:val="00597127"/>
    <w:pPr>
      <w:spacing w:after="0" w:line="240" w:lineRule="auto"/>
    </w:pPr>
    <w:rPr>
      <w:sz w:val="20"/>
      <w:szCs w:val="20"/>
    </w:rPr>
  </w:style>
  <w:style w:type="character" w:customStyle="1" w:styleId="af6">
    <w:name w:val="Текст концевой сноски Знак"/>
    <w:basedOn w:val="a0"/>
    <w:link w:val="af5"/>
    <w:uiPriority w:val="99"/>
    <w:semiHidden/>
    <w:rsid w:val="00597127"/>
    <w:rPr>
      <w:sz w:val="20"/>
      <w:szCs w:val="20"/>
    </w:rPr>
  </w:style>
  <w:style w:type="character" w:styleId="af7">
    <w:name w:val="endnote reference"/>
    <w:basedOn w:val="a0"/>
    <w:uiPriority w:val="99"/>
    <w:semiHidden/>
    <w:unhideWhenUsed/>
    <w:rsid w:val="00597127"/>
    <w:rPr>
      <w:vertAlign w:val="superscript"/>
    </w:rPr>
  </w:style>
  <w:style w:type="character" w:styleId="af8">
    <w:name w:val="Hyperlink"/>
    <w:basedOn w:val="a0"/>
    <w:uiPriority w:val="99"/>
    <w:unhideWhenUsed/>
    <w:rsid w:val="008E34DA"/>
    <w:rPr>
      <w:color w:val="0000FF" w:themeColor="hyperlink"/>
      <w:u w:val="single"/>
    </w:rPr>
  </w:style>
  <w:style w:type="paragraph" w:styleId="af9">
    <w:name w:val="List Paragraph"/>
    <w:basedOn w:val="a"/>
    <w:uiPriority w:val="34"/>
    <w:qFormat/>
    <w:rsid w:val="008751A5"/>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38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if-invest.ru/services.html" TargetMode="External"/><Relationship Id="rId13" Type="http://schemas.openxmlformats.org/officeDocument/2006/relationships/hyperlink" Target="http://www.cbr.ru/contac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taif-inves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if-invest.ru/services.html" TargetMode="External"/><Relationship Id="rId5" Type="http://schemas.openxmlformats.org/officeDocument/2006/relationships/webSettings" Target="webSettings.xml"/><Relationship Id="rId15" Type="http://schemas.openxmlformats.org/officeDocument/2006/relationships/hyperlink" Target="http://www.naufor.org/tree.asp?n=4339" TargetMode="External"/><Relationship Id="rId10" Type="http://schemas.openxmlformats.org/officeDocument/2006/relationships/hyperlink" Target="http://taif-invest.ru/services.html" TargetMode="External"/><Relationship Id="rId4" Type="http://schemas.openxmlformats.org/officeDocument/2006/relationships/settings" Target="settings.xml"/><Relationship Id="rId9" Type="http://schemas.openxmlformats.org/officeDocument/2006/relationships/hyperlink" Target="http://taif-invest.ru/services.html" TargetMode="External"/><Relationship Id="rId14" Type="http://schemas.openxmlformats.org/officeDocument/2006/relationships/hyperlink" Target="http://www.naufor.org/tree.asp?n=227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EA7D2A-0406-497A-847D-0A1C14177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1498</Words>
  <Characters>8543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golovleva</dc:creator>
  <cp:lastModifiedBy>Ольга Митюгова</cp:lastModifiedBy>
  <cp:revision>4</cp:revision>
  <cp:lastPrinted>2023-12-12T11:47:00Z</cp:lastPrinted>
  <dcterms:created xsi:type="dcterms:W3CDTF">2024-03-11T12:17:00Z</dcterms:created>
  <dcterms:modified xsi:type="dcterms:W3CDTF">2024-03-11T13:17:00Z</dcterms:modified>
</cp:coreProperties>
</file>