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A8A" w:rsidRPr="00F16A8A" w:rsidRDefault="00F16A8A" w:rsidP="00F16A8A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808080"/>
          <w:sz w:val="29"/>
          <w:szCs w:val="20"/>
          <w:lang w:eastAsia="ru-RU"/>
        </w:rPr>
      </w:pPr>
      <w:r w:rsidRPr="00F16A8A">
        <w:rPr>
          <w:rFonts w:ascii="Garamond" w:eastAsia="Times New Roman" w:hAnsi="Garamond" w:cs="Times New Roman"/>
          <w:b/>
          <w:color w:val="808080"/>
          <w:sz w:val="29"/>
          <w:szCs w:val="20"/>
          <w:lang w:eastAsia="ru-RU"/>
        </w:rPr>
        <w:t>ОБЩЕСТВО С ОГРАНИЧЕННОЙ ОТВЕТСТВЕННОСТЬЮ</w:t>
      </w:r>
    </w:p>
    <w:p w:rsidR="00F16A8A" w:rsidRPr="00F16A8A" w:rsidRDefault="00F16A8A" w:rsidP="00F16A8A">
      <w:pPr>
        <w:spacing w:after="120" w:line="240" w:lineRule="auto"/>
        <w:jc w:val="center"/>
        <w:rPr>
          <w:rFonts w:ascii="Garamond" w:eastAsia="Times New Roman" w:hAnsi="Garamond" w:cs="Times New Roman"/>
          <w:b/>
          <w:spacing w:val="40"/>
          <w:sz w:val="60"/>
          <w:szCs w:val="24"/>
          <w:lang w:eastAsia="ru-RU"/>
        </w:rPr>
      </w:pPr>
      <w:r w:rsidRPr="00F16A8A">
        <w:rPr>
          <w:rFonts w:ascii="Garamond" w:eastAsia="Times New Roman" w:hAnsi="Garamond" w:cs="Times New Roman"/>
          <w:b/>
          <w:noProof/>
          <w:spacing w:val="40"/>
          <w:sz w:val="60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478790</wp:posOffset>
                </wp:positionV>
                <wp:extent cx="6470650" cy="571500"/>
                <wp:effectExtent l="20955" t="26670" r="23495" b="2095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0" cy="571500"/>
                          <a:chOff x="1872" y="2448"/>
                          <a:chExt cx="8208" cy="43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872" y="2448"/>
                            <a:ext cx="8208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72" y="2880"/>
                            <a:ext cx="8208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1675B" id="Группа 1" o:spid="_x0000_s1026" style="position:absolute;margin-left:-1.05pt;margin-top:37.7pt;width:509.5pt;height:45pt;z-index:251659264" coordorigin="1872,2448" coordsize="820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BUuwIAAEAIAAAOAAAAZHJzL2Uyb0RvYy54bWzsVe1q2zAU/T/YOwj/T/0RJ3FNnTLipH+6&#10;rdDuARRJ/mC2JCQ1ThiDwR6hL7I32Cu0b7Qr2Uk/NtjoYGOwBBzJ9+rm3HOOpJPTbdugDVO6Fjzz&#10;wqPAQ4wTQWteZt67q9Uo8ZA2mFPcCM4yb8e0dzp/+eKkkymLRCUayhSCIlynncy8yhiZ+r4mFWux&#10;PhKScQgWQrXYwFSVPlW4g+pt40dBMPU7oahUgjCt4W3eB725q18UjJi3RaGZQU3mATbjnso91/bp&#10;z09wWiosq5oMMPAzULS45vCnh1I5Nhhdq/q7Um1NlNCiMEdEtL4oipow1wN0EwZPujlT4lq6Xsq0&#10;K+WBJqD2CU/PLkvebC4Uqilo5yGOW5Do9ubu093n26/w/YJCy1AnyxQSz5S8lBeqbxOG54K81xD2&#10;n8btvOyT0bp7LShUxddGOIa2hWptCegdbZ0Qu4MQbGsQgZfTeBZMJ6AXgdhkFk6CQSlSgZx2WZjM&#10;Ig9BNIrjpFeRVMtheRIFYDu7Nh5HNujjtP9bB3WAZvsC0+l7XvXv8XpZYcmcXNrSNfAKMHtez2vO&#10;0Ljn0yUseE8m2fKBTMTFosK8ZK7U1U4CcU4BwP1giZ1oUOKn5P6ApT3F9xw5ag8M4VQqbc6YaJEd&#10;ZF4DsJ1weHOuTU/mPsXqyMWqbhp4j9OGoy7zxkkIciHSSnAVXTdusRZNTW2izdOqXC8ahTbY7kr3&#10;GVR6lAbu59QVrhimy2FscN30Y8DccFsPegJow6jfdh+Og+NlskziURxNl6M4yPPRq9UiHk1X4WyS&#10;j/PFIg8/WmhhnFY1pYxbdPsjIIx/zQrDYdRv3sMhcKDEf1zdGRHA7n8daCetVbP341rQ3YWyNA/u&#10;/EM2HT+yafyXbJokw0b/b9N/zqbubIVryrl7uFLtPfhw7mx9f/HPvwEAAP//AwBQSwMEFAAGAAgA&#10;AAAhAJknG0zhAAAACgEAAA8AAABkcnMvZG93bnJldi54bWxMj0FPwkAQhe8m/ofNmHiD7aJUrN0S&#10;QtQTIRFMiLehHdqG7mzTXdry711OepuZ9/Lme+lyNI3oqXO1ZQ1qGoEgzm1Rc6nhe/8xWYBwHrnA&#10;xjJpuJKDZXZ/l2JS2IG/qN/5UoQQdglqqLxvEyldXpFBN7UtcdBOtjPow9qVsuhwCOGmkbMoiqXB&#10;msOHCltaV5Sfdxej4XPAYfWk3vvN+bS+/uzn28NGkdaPD+PqDYSn0f+Z4YYf0CELTEd74cKJRsNk&#10;poJTw8v8GcRNj1T8CuIYpjicZJbK/xWyXwAAAP//AwBQSwECLQAUAAYACAAAACEAtoM4kv4AAADh&#10;AQAAEwAAAAAAAAAAAAAAAAAAAAAAW0NvbnRlbnRfVHlwZXNdLnhtbFBLAQItABQABgAIAAAAIQA4&#10;/SH/1gAAAJQBAAALAAAAAAAAAAAAAAAAAC8BAABfcmVscy8ucmVsc1BLAQItABQABgAIAAAAIQCl&#10;MmBUuwIAAEAIAAAOAAAAAAAAAAAAAAAAAC4CAABkcnMvZTJvRG9jLnhtbFBLAQItABQABgAIAAAA&#10;IQCZJxtM4QAAAAoBAAAPAAAAAAAAAAAAAAAAABUFAABkcnMvZG93bnJldi54bWxQSwUGAAAAAAQA&#10;BADzAAAAIwYAAAAA&#10;">
                <v:line id="Line 3" o:spid="_x0000_s1027" style="position:absolute;visibility:visible;mso-wrap-style:square" from="1872,2448" to="10080,2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E9bsQAAADaAAAADwAAAGRycy9kb3ducmV2LnhtbESPQWvCQBSE70L/w/IKvZlNbStp6ipF&#10;KAQvalrB4yP7TILZtyG7Jml/vSsUPA4z8w2zWI2mET11rras4DmKQRAXVtdcKvj5/pomIJxH1thY&#10;JgW/5GC1fJgsMNV24D31uS9FgLBLUUHlfZtK6YqKDLrItsTBO9nOoA+yK6XucAhw08hZHM+lwZrD&#10;QoUtrSsqzvnFKHjdvg/H4s9kw+7wYjf7HE3ytlHq6XH8/ADhafT38H870wpmcLsSbo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AT1uxAAAANoAAAAPAAAAAAAAAAAA&#10;AAAAAKECAABkcnMvZG93bnJldi54bWxQSwUGAAAAAAQABAD5AAAAkgMAAAAA&#10;" strokeweight="3pt">
                  <v:stroke linestyle="thinThin"/>
                </v:line>
                <v:line id="Line 4" o:spid="_x0000_s1028" style="position:absolute;visibility:visible;mso-wrap-style:square" from="1872,2880" to="10080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2Y9cIAAADaAAAADwAAAGRycy9kb3ducmV2LnhtbESPQYvCMBSE74L/ITxhb5qq66LVKCII&#10;4mW1Knh8NM+22LyUJtru/vqNIOxxmJlvmMWqNaV4Uu0KywqGgwgEcWp1wZmC82nbn4JwHlljaZkU&#10;/JCD1bLbWWCsbcNHeiY+EwHCLkYFufdVLKVLczLoBrYiDt7N1gZ9kHUmdY1NgJtSjqLoSxosOCzk&#10;WNEmp/SePIyCz+9Zc01/za45XMZ2f0zQTCd7pT567XoOwlPr/8Pv9k4rGMPrSrgB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2Y9cIAAADaAAAADwAAAAAAAAAAAAAA&#10;AAChAgAAZHJzL2Rvd25yZXYueG1sUEsFBgAAAAAEAAQA+QAAAJADAAAAAA==&#10;" strokeweight="3pt">
                  <v:stroke linestyle="thinThin"/>
                </v:line>
              </v:group>
            </w:pict>
          </mc:Fallback>
        </mc:AlternateContent>
      </w:r>
      <w:r w:rsidRPr="00F16A8A">
        <w:rPr>
          <w:rFonts w:ascii="Garamond" w:eastAsia="Times New Roman" w:hAnsi="Garamond" w:cs="Times New Roman"/>
          <w:b/>
          <w:spacing w:val="40"/>
          <w:sz w:val="60"/>
          <w:szCs w:val="24"/>
          <w:lang w:eastAsia="ru-RU"/>
        </w:rPr>
        <w:t>«ТАИФ-ИНВЕСТ»</w:t>
      </w:r>
    </w:p>
    <w:p w:rsidR="00F16A8A" w:rsidRPr="00F16A8A" w:rsidRDefault="00F16A8A" w:rsidP="00F16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A8A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Лицензии ФКЦБ России №016-06677-010000, 016-06666-100000, 016-06688-001000 от 27.05.03 г.</w:t>
      </w:r>
    </w:p>
    <w:p w:rsidR="00F16A8A" w:rsidRPr="00F16A8A" w:rsidRDefault="00F16A8A" w:rsidP="00F16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A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420043, Российская Федерация, Республика Татарстан, </w:t>
      </w:r>
      <w:proofErr w:type="spellStart"/>
      <w:r w:rsidRPr="00F16A8A">
        <w:rPr>
          <w:rFonts w:ascii="Times New Roman" w:eastAsia="Times New Roman" w:hAnsi="Times New Roman" w:cs="Times New Roman"/>
          <w:sz w:val="20"/>
          <w:szCs w:val="20"/>
          <w:lang w:eastAsia="ru-RU"/>
        </w:rPr>
        <w:t>г.Казань</w:t>
      </w:r>
      <w:proofErr w:type="spellEnd"/>
      <w:r w:rsidRPr="00F16A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16A8A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ул.Вишневского</w:t>
      </w:r>
      <w:proofErr w:type="spellEnd"/>
      <w:r w:rsidRPr="00F16A8A">
        <w:rPr>
          <w:rFonts w:ascii="Times New Roman" w:eastAsia="Times New Roman" w:hAnsi="Times New Roman" w:cs="Times New Roman"/>
          <w:sz w:val="20"/>
          <w:szCs w:val="20"/>
          <w:lang w:eastAsia="ru-RU"/>
        </w:rPr>
        <w:t>, д.6</w:t>
      </w:r>
    </w:p>
    <w:p w:rsidR="00F16A8A" w:rsidRPr="00F16A8A" w:rsidRDefault="00F16A8A" w:rsidP="00F16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Тел.: (843)236-33-42, </w:t>
      </w:r>
      <w:proofErr w:type="gramStart"/>
      <w:r w:rsidRPr="00F16A8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Факс.:(</w:t>
      </w:r>
      <w:proofErr w:type="gramEnd"/>
      <w:r w:rsidRPr="00F16A8A">
        <w:rPr>
          <w:rFonts w:ascii="Times New Roman" w:eastAsia="Times New Roman" w:hAnsi="Times New Roman" w:cs="Times New Roman"/>
          <w:sz w:val="20"/>
          <w:szCs w:val="20"/>
          <w:lang w:eastAsia="ru-RU"/>
        </w:rPr>
        <w:t>843)236-33-24, E-</w:t>
      </w:r>
      <w:proofErr w:type="spellStart"/>
      <w:r w:rsidRPr="00F16A8A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F16A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6" w:history="1">
        <w:r w:rsidRPr="00F16A8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office@taif-invest.ru</w:t>
        </w:r>
      </w:hyperlink>
    </w:p>
    <w:p w:rsidR="00F16A8A" w:rsidRPr="00F16A8A" w:rsidRDefault="00F16A8A" w:rsidP="00F16A8A">
      <w:pPr>
        <w:spacing w:after="0" w:line="240" w:lineRule="auto"/>
        <w:jc w:val="center"/>
        <w:rPr>
          <w:rFonts w:ascii="Garamond" w:eastAsia="Times New Roman" w:hAnsi="Garamond" w:cs="Times New Roman"/>
          <w:color w:val="808080"/>
          <w:sz w:val="20"/>
          <w:szCs w:val="24"/>
          <w:lang w:eastAsia="ru-RU"/>
        </w:rPr>
      </w:pPr>
    </w:p>
    <w:p w:rsidR="00F16A8A" w:rsidRDefault="00F16A8A" w:rsidP="00901CD9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2EA" w:rsidRPr="00BC4FE8" w:rsidRDefault="009C02EA" w:rsidP="00901CD9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4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</w:t>
      </w:r>
      <w:r w:rsidR="0045213D" w:rsidRPr="00BC4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BC4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клиент!</w:t>
      </w:r>
    </w:p>
    <w:p w:rsidR="00BC4FE8" w:rsidRDefault="009C02EA" w:rsidP="00460A4F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4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Информируем </w:t>
      </w:r>
      <w:r w:rsidR="005E24E0" w:rsidRPr="00BC4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BC4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ас </w:t>
      </w:r>
      <w:r w:rsidR="00460A4F" w:rsidRPr="00BC4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введении </w:t>
      </w:r>
      <w:r w:rsidR="00BC4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обязательного </w:t>
      </w:r>
      <w:r w:rsidR="00460A4F" w:rsidRPr="00BC4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тестирования </w:t>
      </w:r>
    </w:p>
    <w:p w:rsidR="00D17BAA" w:rsidRPr="00BC4FE8" w:rsidRDefault="00460A4F" w:rsidP="00460A4F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4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неквалифицированных инвесторов</w:t>
      </w:r>
      <w:r w:rsidR="00BC4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физических лиц</w:t>
      </w:r>
    </w:p>
    <w:p w:rsidR="00460A4F" w:rsidRPr="00BC4FE8" w:rsidRDefault="00460A4F" w:rsidP="00901C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CD9" w:rsidRPr="00BC4FE8" w:rsidRDefault="00901CD9" w:rsidP="000B5FE7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</w:t>
      </w:r>
      <w:r w:rsidR="000827B2" w:rsidRPr="00BC4F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BC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 октября 2021 года</w:t>
      </w:r>
      <w:r w:rsidRPr="00BC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вступают в силу изменения в Федеральный закон от 22.04.1996 г. №39-ФЗ «О рынке ценных бумаг», внесённые Федеральным законом от 31.07.2020 №306-ФЗ «О внесении изменений в Федеральный закон «О рынке ценных бумаг» и отдельные законодательные акты Российской Федерации».</w:t>
      </w:r>
    </w:p>
    <w:p w:rsidR="00901CD9" w:rsidRPr="00BC4FE8" w:rsidRDefault="00901CD9" w:rsidP="000B5FE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касаются порядка совершения сделок физическими лицами - неквалифицированными инвесторами по приобретению ценных бумаг и ряда иных видов сделок, а также заключению договоров </w:t>
      </w:r>
      <w:proofErr w:type="spellStart"/>
      <w:r w:rsidRPr="00BC4F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</w:t>
      </w:r>
      <w:proofErr w:type="spellEnd"/>
      <w:r w:rsidRPr="00BC4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договоров, являющихся производными финансовыми инструментами.</w:t>
      </w:r>
    </w:p>
    <w:p w:rsidR="00460A4F" w:rsidRPr="00BC4FE8" w:rsidRDefault="00460A4F" w:rsidP="00460A4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E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России утвердил в новой редакции Базовый стандарт защиты прав и интересов клиентов брокеров, который установил порядок тестирования неквалифицированных инвесторов перед сделками со сложными финансовыми инструментами и совершения необеспеченных сделок, и призван помочь оценить Вам свои знания и принимаемые на себя риски.</w:t>
      </w:r>
    </w:p>
    <w:p w:rsidR="00901CD9" w:rsidRPr="00BC4FE8" w:rsidRDefault="00901CD9" w:rsidP="000B5FE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все клиенты - физические лица, не являющиеся квалифицированными инвесторами, </w:t>
      </w:r>
      <w:r w:rsidRPr="00BC4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заключившие договор на брокерское обслуживание с ООО «ТАИФ-ИНВЕСТ»</w:t>
      </w:r>
      <w:r w:rsidRPr="00BC4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60A4F" w:rsidRPr="00BC4FE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смогут инвестировать</w:t>
      </w:r>
      <w:r w:rsidR="004179E5" w:rsidRPr="00BC4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ниже перечисленные инструменты </w:t>
      </w:r>
      <w:r w:rsidRPr="00BC4FE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после прохождения соответствующего тестирования.</w:t>
      </w:r>
    </w:p>
    <w:p w:rsidR="00B02EA0" w:rsidRPr="00B02EA0" w:rsidRDefault="00B02EA0" w:rsidP="000B5FE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разделено на два блока. Первый - «Самооценка» включает три вопроса, направленных на определение Вашего опыта как инвестора</w:t>
      </w:r>
      <w:r w:rsidRPr="00B0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источника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Ваших</w:t>
      </w:r>
      <w:r w:rsidRPr="00B0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знаний. Ответы на эти вопросы не влияют на результаты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Вашего </w:t>
      </w:r>
      <w:r w:rsidRPr="00B0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тестирования, но помогут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как </w:t>
      </w:r>
      <w:r w:rsidRPr="00B02E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инвестору лучше оценить свою готовность к совершению сделок.</w:t>
      </w:r>
    </w:p>
    <w:p w:rsidR="00B02EA0" w:rsidRPr="00B02EA0" w:rsidRDefault="0045213D" w:rsidP="000B5FE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блок «Знание» </w:t>
      </w:r>
      <w:r w:rsidR="00B02E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четырех вопросов об особенностях и </w:t>
      </w:r>
      <w:r w:rsidR="00B02EA0" w:rsidRPr="00B02EA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рисках инструментов, входящих в одну из групп, для которых Федеральный закон №39-ФЗ предусматривает обязательное тестирование:</w:t>
      </w:r>
    </w:p>
    <w:p w:rsidR="008B0172" w:rsidRPr="008B0172" w:rsidRDefault="008B0172" w:rsidP="000B5FE7">
      <w:pPr>
        <w:numPr>
          <w:ilvl w:val="0"/>
          <w:numId w:val="2"/>
        </w:numPr>
        <w:tabs>
          <w:tab w:val="clear" w:pos="720"/>
          <w:tab w:val="num" w:pos="567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Маржинальные необеспеченные сделки.</w:t>
      </w:r>
    </w:p>
    <w:p w:rsidR="008B0172" w:rsidRPr="008B0172" w:rsidRDefault="008B0172" w:rsidP="000B5FE7">
      <w:pPr>
        <w:numPr>
          <w:ilvl w:val="0"/>
          <w:numId w:val="2"/>
        </w:numPr>
        <w:tabs>
          <w:tab w:val="clear" w:pos="720"/>
          <w:tab w:val="num" w:pos="567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Производные финансовые инструменты.</w:t>
      </w:r>
    </w:p>
    <w:p w:rsidR="008B0172" w:rsidRPr="008B0172" w:rsidRDefault="008B0172" w:rsidP="000B5FE7">
      <w:pPr>
        <w:numPr>
          <w:ilvl w:val="0"/>
          <w:numId w:val="2"/>
        </w:numPr>
        <w:tabs>
          <w:tab w:val="clear" w:pos="720"/>
          <w:tab w:val="num" w:pos="567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 РЕПО.</w:t>
      </w:r>
    </w:p>
    <w:p w:rsidR="008B0172" w:rsidRPr="008B0172" w:rsidRDefault="008B0172" w:rsidP="000B5FE7">
      <w:pPr>
        <w:numPr>
          <w:ilvl w:val="0"/>
          <w:numId w:val="2"/>
        </w:numPr>
        <w:tabs>
          <w:tab w:val="clear" w:pos="720"/>
          <w:tab w:val="num" w:pos="567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облигации.</w:t>
      </w:r>
    </w:p>
    <w:p w:rsidR="008B0172" w:rsidRPr="008B0172" w:rsidRDefault="008B0172" w:rsidP="000B5FE7">
      <w:pPr>
        <w:numPr>
          <w:ilvl w:val="0"/>
          <w:numId w:val="2"/>
        </w:numPr>
        <w:tabs>
          <w:tab w:val="clear" w:pos="720"/>
          <w:tab w:val="num" w:pos="567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7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Паи закрытых паевых инвестиционных фондов.</w:t>
      </w:r>
    </w:p>
    <w:p w:rsidR="008B0172" w:rsidRPr="008B0172" w:rsidRDefault="008B0172" w:rsidP="000B5FE7">
      <w:pPr>
        <w:numPr>
          <w:ilvl w:val="0"/>
          <w:numId w:val="2"/>
        </w:numPr>
        <w:tabs>
          <w:tab w:val="clear" w:pos="720"/>
          <w:tab w:val="num" w:pos="567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Облигации российских эмитентов без кредитного рейтинга или с рейтингом ниже уровня, установленного Б</w:t>
      </w:r>
      <w:r w:rsidR="00B02EA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анком России</w:t>
      </w:r>
      <w:r w:rsidRPr="008B01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172" w:rsidRPr="008B0172" w:rsidRDefault="008B0172" w:rsidP="000B5FE7">
      <w:pPr>
        <w:numPr>
          <w:ilvl w:val="0"/>
          <w:numId w:val="2"/>
        </w:numPr>
        <w:tabs>
          <w:tab w:val="clear" w:pos="720"/>
          <w:tab w:val="num" w:pos="567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Облигации российских «дочек» иностранных эмитентов без кредитного рейтинга или с рейтингом ниже уровня, установленного </w:t>
      </w:r>
      <w:r w:rsidR="00B02EA0" w:rsidRPr="00B02E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Банком России</w:t>
      </w:r>
      <w:r w:rsidRPr="008B01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172" w:rsidRPr="008B0172" w:rsidRDefault="008B0172" w:rsidP="000B5FE7">
      <w:pPr>
        <w:numPr>
          <w:ilvl w:val="0"/>
          <w:numId w:val="2"/>
        </w:numPr>
        <w:tabs>
          <w:tab w:val="clear" w:pos="720"/>
          <w:tab w:val="num" w:pos="567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Облигации со структурным доходом, отвечающие установленным </w:t>
      </w:r>
      <w:r w:rsidR="00B02EA0" w:rsidRPr="00B02E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Банком России</w:t>
      </w:r>
      <w:r w:rsidRPr="008B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к уровню кредитного рейтинга.</w:t>
      </w:r>
    </w:p>
    <w:p w:rsidR="008B0172" w:rsidRPr="008B0172" w:rsidRDefault="008B0172" w:rsidP="000B5FE7">
      <w:pPr>
        <w:numPr>
          <w:ilvl w:val="0"/>
          <w:numId w:val="2"/>
        </w:numPr>
        <w:tabs>
          <w:tab w:val="clear" w:pos="720"/>
          <w:tab w:val="num" w:pos="567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Акции, не включенные в котировальные списки.</w:t>
      </w:r>
    </w:p>
    <w:p w:rsidR="008B0172" w:rsidRPr="008B0172" w:rsidRDefault="008B0172" w:rsidP="000B5FE7">
      <w:pPr>
        <w:numPr>
          <w:ilvl w:val="0"/>
          <w:numId w:val="2"/>
        </w:numPr>
        <w:tabs>
          <w:tab w:val="clear" w:pos="720"/>
          <w:tab w:val="num" w:pos="567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Иностранные акции, не входящие в индексы из </w:t>
      </w:r>
      <w:r w:rsidR="00452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</w:t>
      </w:r>
      <w:r w:rsidR="0045213D" w:rsidRPr="0045213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</w:t>
      </w:r>
      <w:r w:rsidR="0045213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5213D" w:rsidRPr="00452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</w:t>
      </w:r>
      <w:r w:rsidR="004521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</w:t>
      </w:r>
      <w:r w:rsidRPr="008B01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172" w:rsidRPr="008B0172" w:rsidRDefault="008B0172" w:rsidP="000B5FE7">
      <w:pPr>
        <w:numPr>
          <w:ilvl w:val="0"/>
          <w:numId w:val="2"/>
        </w:numPr>
        <w:tabs>
          <w:tab w:val="clear" w:pos="720"/>
          <w:tab w:val="num" w:pos="567"/>
        </w:tabs>
        <w:spacing w:after="0" w:line="264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ETF, включая спонсируемые ETF, доходность по которым определяется индексом, не входящим в установленный Банком России перечень.</w:t>
      </w:r>
    </w:p>
    <w:p w:rsidR="008B0172" w:rsidRPr="008B0172" w:rsidRDefault="008B0172" w:rsidP="000B5FE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</w:t>
      </w:r>
      <w:r w:rsidR="00452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Pr="008B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считается пройденным, если </w:t>
      </w:r>
      <w:r w:rsidR="004521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8B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ответил</w:t>
      </w:r>
      <w:r w:rsidR="004521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B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 четыре вопроса из блока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«Знания»</w:t>
      </w:r>
      <w:r w:rsidRPr="008B01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</w:t>
      </w:r>
      <w:r w:rsidR="004521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Вас является</w:t>
      </w:r>
      <w:r w:rsidRPr="008B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бесплатным</w:t>
      </w:r>
      <w:r w:rsidR="00452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B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пересдать его </w:t>
      </w:r>
      <w:r w:rsidR="00452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r w:rsidR="0045213D" w:rsidRPr="008B01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</w:t>
      </w:r>
      <w:r w:rsidR="0045213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</w:t>
      </w:r>
      <w:r w:rsidRPr="008B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неограниченное количество раз.</w:t>
      </w:r>
      <w:r w:rsidR="005E3BCD" w:rsidRPr="005E3BCD">
        <w:t xml:space="preserve"> </w:t>
      </w:r>
    </w:p>
    <w:p w:rsidR="0045213D" w:rsidRDefault="009B6B22" w:rsidP="000B5FE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B6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становиться</w:t>
      </w:r>
      <w:r w:rsidRPr="009B6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обязательным с 1 октября 2021 года (при покупке облигаций со структурным доходом — с 1 сентября</w:t>
      </w:r>
      <w:r w:rsidR="00460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</w:t>
      </w:r>
      <w:r w:rsidRPr="009B6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по иностранным </w:t>
      </w:r>
      <w:proofErr w:type="spellStart"/>
      <w:r w:rsidRPr="009B6B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неспонсируемым</w:t>
      </w:r>
      <w:proofErr w:type="spellEnd"/>
      <w:r w:rsidRPr="009B6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ETF — с 1 апреля 2022 года, когда они будут допущены на российский рынок.</w:t>
      </w:r>
    </w:p>
    <w:p w:rsidR="00155C21" w:rsidRDefault="00155C21" w:rsidP="000B5FE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Тестирование необходимо будет пройти один раз при совершении первой сделки с конкретным классом финансовых инструментов. </w:t>
      </w:r>
      <w:r w:rsidR="00BC4FE8" w:rsidRPr="00BC4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отрицательного результата тестирования</w:t>
      </w:r>
      <w:r w:rsidRPr="00BC4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Общество предлагает Вам </w:t>
      </w:r>
      <w:r w:rsidR="00460A4F" w:rsidRPr="00BC4F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пересдать данный тест либо</w:t>
      </w:r>
      <w:r w:rsidRPr="00BC4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воспользоваться </w:t>
      </w:r>
      <w:r w:rsidR="00A95453" w:rsidRPr="00BC4FE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C4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равом </w:t>
      </w:r>
      <w:r w:rsidR="00A95453" w:rsidRPr="00BC4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совершение сделки с конкретным классом финансового инструмента, </w:t>
      </w:r>
      <w:r w:rsidRPr="00BC4F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A95453" w:rsidRPr="00BC4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F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A95453" w:rsidRPr="00BC4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F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уведомление о</w:t>
      </w:r>
      <w:r w:rsidR="00A95453" w:rsidRPr="00BC4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  <w:r w:rsidRPr="0015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A9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C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 рисков и</w:t>
      </w:r>
      <w:r w:rsidR="00A9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C2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A9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последствий и</w:t>
      </w:r>
      <w:r w:rsidR="00A9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9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C2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 не</w:t>
      </w:r>
      <w:r w:rsidR="00A9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100 тыс. рублей за одну сделку (или же не больше стоимости одного лота ценных бумаг или одной ценной бумаги, если она превышает 100 тыс. рублей). Этот механизм поможет </w:t>
      </w:r>
      <w:r w:rsidR="00A9545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 w:rsidRPr="0015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ограничить сумму возможных потерь, возникающих из-за непонимания рисков.</w:t>
      </w:r>
    </w:p>
    <w:p w:rsidR="00E44C3A" w:rsidRDefault="008A0EE7" w:rsidP="000B5FE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0E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Квалифицированные инвесторы освобождаются от прохождения тестов. </w:t>
      </w:r>
    </w:p>
    <w:p w:rsidR="005E3BCD" w:rsidRPr="005E3BCD" w:rsidRDefault="005E3BCD" w:rsidP="000B5FE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E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</w:t>
      </w:r>
      <w:r w:rsidR="00A95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8A0E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 неквалифицированный инвестор,</w:t>
      </w:r>
      <w:r w:rsidRPr="008A0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E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естирование не потребуется, если до 1 октября 2021 года </w:t>
      </w:r>
      <w:r w:rsidR="00A954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E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E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 бы один соответствующий договор или совершил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E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 бы одну такую же сделку (с учетом требований </w:t>
      </w:r>
      <w:r w:rsidR="00A9545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E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акона до начала тестирования покупка сложных финансовых инструментов возможна при условии, что у неквалифицированного инвестора были аналогичные сделки до 1 января 2020 года). </w:t>
      </w:r>
      <w:r w:rsidR="00A954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указанном случае п</w:t>
      </w:r>
      <w:r w:rsidRPr="005E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одразумевается, что </w:t>
      </w:r>
      <w:r w:rsidR="00A9545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лиент </w:t>
      </w:r>
      <w:r w:rsidRPr="005E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таким опытом обладает необходимыми знаниями и может принимать на себя высокие риски </w:t>
      </w:r>
      <w:r w:rsidR="00A9545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E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при его желании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EE7" w:rsidRPr="008A0EE7" w:rsidRDefault="008A0EE7" w:rsidP="000B5FE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Исключение:</w:t>
      </w:r>
      <w:r w:rsidRPr="008A0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инвестиционные облигации, по ним тест</w:t>
      </w:r>
      <w:r w:rsidR="00A9545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ирование</w:t>
      </w:r>
      <w:r w:rsidRPr="008A0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пройти всем неквалифицированным инвесторам.</w:t>
      </w:r>
    </w:p>
    <w:p w:rsidR="007414CB" w:rsidRDefault="007414CB" w:rsidP="007414C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Тестирование проходит при личной явке в офисе ООО «ТАИФ-ИНВЕСТ» по адресу: </w:t>
      </w:r>
      <w:proofErr w:type="spellStart"/>
      <w:r w:rsidRPr="00741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г.Казань</w:t>
      </w:r>
      <w:proofErr w:type="spellEnd"/>
      <w:r w:rsidRPr="00741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Вишневского, д.6</w:t>
      </w:r>
      <w:r w:rsidR="00561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понедельника по пятницу с 9-00 </w:t>
      </w:r>
      <w:r w:rsidR="00F16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r w:rsidR="00561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12-00 и </w:t>
      </w:r>
      <w:r w:rsidR="00F16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561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13-00 </w:t>
      </w:r>
      <w:r w:rsidR="00F16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bookmarkStart w:id="0" w:name="_GoBack"/>
      <w:bookmarkEnd w:id="0"/>
      <w:r w:rsidR="00561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16-00.</w:t>
      </w:r>
    </w:p>
    <w:p w:rsidR="00561C9D" w:rsidRPr="009A2EEB" w:rsidRDefault="00561C9D" w:rsidP="00561C9D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прохождения теста Вам необходимо обратиться к сотрудникам </w:t>
      </w:r>
      <w:r w:rsidR="009A2EEB" w:rsidRPr="009A2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Отдела управления активами </w:t>
      </w:r>
      <w:r w:rsidRPr="009A2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«ТАИФ-ИНВЕСТ», в случае возникновения вопросов</w:t>
      </w:r>
      <w:r w:rsidR="009A2EEB" w:rsidRPr="009A2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все вопросы можно задать по телефону (843) 236-97-50, 236-97-70</w:t>
      </w:r>
      <w:r w:rsidRPr="009A2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414CB" w:rsidRPr="007414CB" w:rsidRDefault="007414CB" w:rsidP="000B5FE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A0EE7" w:rsidRPr="00CA6453" w:rsidRDefault="00CA6453" w:rsidP="000B5FE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Обращаем Ваше внимание, что клиенты ООО «ТАИФ-ИНВЕСТ» не проходят тестирование по </w:t>
      </w:r>
      <w:r w:rsidR="00A9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инструментам: </w:t>
      </w:r>
      <w:r w:rsidRPr="000B5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маржинальные необеспеченные сделки и производные финансовые инструменты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связи с тем, что Общество не предоставляет </w:t>
      </w:r>
      <w:r w:rsidR="000B5F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лиентам доступ к </w:t>
      </w:r>
      <w:r w:rsidR="000B5F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инструментам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8A0EE7" w:rsidRPr="00CA6453" w:rsidSect="009C02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9065C"/>
    <w:multiLevelType w:val="multilevel"/>
    <w:tmpl w:val="486E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07317"/>
    <w:multiLevelType w:val="multilevel"/>
    <w:tmpl w:val="F3A4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8872D9"/>
    <w:multiLevelType w:val="multilevel"/>
    <w:tmpl w:val="76EC9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FA3A84"/>
    <w:multiLevelType w:val="multilevel"/>
    <w:tmpl w:val="21C4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F758DE"/>
    <w:multiLevelType w:val="multilevel"/>
    <w:tmpl w:val="1A0E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E7"/>
    <w:rsid w:val="000827B2"/>
    <w:rsid w:val="000B5FE7"/>
    <w:rsid w:val="000B68AC"/>
    <w:rsid w:val="00155C21"/>
    <w:rsid w:val="00255F09"/>
    <w:rsid w:val="00317577"/>
    <w:rsid w:val="004179E5"/>
    <w:rsid w:val="0045213D"/>
    <w:rsid w:val="00460A4F"/>
    <w:rsid w:val="00561C9D"/>
    <w:rsid w:val="005C3F88"/>
    <w:rsid w:val="005E24E0"/>
    <w:rsid w:val="005E3BCD"/>
    <w:rsid w:val="006F0BAF"/>
    <w:rsid w:val="007414CB"/>
    <w:rsid w:val="008A0EE7"/>
    <w:rsid w:val="008B0172"/>
    <w:rsid w:val="008E191E"/>
    <w:rsid w:val="00901CD9"/>
    <w:rsid w:val="009A2EEB"/>
    <w:rsid w:val="009B6B22"/>
    <w:rsid w:val="009C02EA"/>
    <w:rsid w:val="00A95453"/>
    <w:rsid w:val="00B02EA0"/>
    <w:rsid w:val="00B95C8D"/>
    <w:rsid w:val="00BC4FE8"/>
    <w:rsid w:val="00CA6453"/>
    <w:rsid w:val="00D17BAA"/>
    <w:rsid w:val="00DF4590"/>
    <w:rsid w:val="00E44C3A"/>
    <w:rsid w:val="00F1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AF0D3E1C-1847-421E-B838-2144C3DD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C8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827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7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4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8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9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taif-inve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22A7D-5BE8-4119-9D84-4B4064D7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Владина Инесса</dc:creator>
  <cp:lastModifiedBy>Альберт Кавиев</cp:lastModifiedBy>
  <cp:revision>11</cp:revision>
  <cp:lastPrinted>2021-09-30T11:35:00Z</cp:lastPrinted>
  <dcterms:created xsi:type="dcterms:W3CDTF">2021-09-30T12:38:00Z</dcterms:created>
  <dcterms:modified xsi:type="dcterms:W3CDTF">2021-10-01T11:20:00Z</dcterms:modified>
</cp:coreProperties>
</file>